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49A86">
      <w:pPr>
        <w:spacing w:after="0"/>
        <w:rPr>
          <w:rFonts w:ascii="Arial" w:hAnsi="Arial" w:eastAsia="Calibri" w:cs="Arial"/>
          <w:b/>
          <w:kern w:val="2"/>
          <w:sz w:val="24"/>
          <w:szCs w:val="24"/>
          <w:lang w:val="id-ID"/>
        </w:rPr>
      </w:pPr>
    </w:p>
    <w:p w14:paraId="5B40015E">
      <w:pPr>
        <w:keepNext w:val="0"/>
        <w:keepLines w:val="0"/>
        <w:pageBreakBefore w:val="0"/>
        <w:widowControl/>
        <w:kinsoku/>
        <w:wordWrap/>
        <w:overflowPunct/>
        <w:topLinePunct w:val="0"/>
        <w:autoSpaceDE/>
        <w:autoSpaceDN/>
        <w:bidi w:val="0"/>
        <w:adjustRightInd/>
        <w:snapToGrid/>
        <w:spacing w:after="0" w:line="360" w:lineRule="auto"/>
        <w:ind w:left="-440" w:leftChars="-200" w:right="-48" w:rightChars="-22" w:firstLine="0" w:firstLineChars="0"/>
        <w:jc w:val="center"/>
        <w:textAlignment w:val="auto"/>
        <w:rPr>
          <w:rFonts w:hint="default" w:ascii="Times New Roman" w:hAnsi="Times New Roman" w:eastAsia="SimSun" w:cs="Times New Roman"/>
          <w:b/>
          <w:bCs/>
          <w:sz w:val="28"/>
          <w:szCs w:val="28"/>
          <w:shd w:val="clear" w:color="auto" w:fill="auto"/>
        </w:rPr>
      </w:pPr>
      <w:r>
        <w:rPr>
          <w:rFonts w:hint="default" w:ascii="Times New Roman" w:hAnsi="Times New Roman" w:eastAsia="SimSun" w:cs="Times New Roman"/>
          <w:b/>
          <w:bCs/>
          <w:sz w:val="28"/>
          <w:szCs w:val="28"/>
          <w:shd w:val="clear" w:color="auto" w:fill="auto"/>
        </w:rPr>
        <w:t>ANALISIS RISIKO KESELAMATAN KERJA</w:t>
      </w:r>
      <w:r>
        <w:rPr>
          <w:rFonts w:hint="default" w:ascii="Times New Roman" w:hAnsi="Times New Roman" w:eastAsia="SimSun" w:cs="Times New Roman"/>
          <w:b/>
          <w:bCs/>
          <w:sz w:val="28"/>
          <w:szCs w:val="28"/>
          <w:shd w:val="clear" w:color="auto" w:fill="auto"/>
          <w:lang w:val="en-US"/>
        </w:rPr>
        <w:t xml:space="preserve"> </w:t>
      </w:r>
      <w:r>
        <w:rPr>
          <w:rFonts w:hint="default" w:ascii="Times New Roman" w:hAnsi="Times New Roman" w:eastAsia="SimSun" w:cs="Times New Roman"/>
          <w:b/>
          <w:bCs/>
          <w:sz w:val="28"/>
          <w:szCs w:val="28"/>
          <w:shd w:val="clear" w:color="auto" w:fill="auto"/>
        </w:rPr>
        <w:t xml:space="preserve">PEMBUATAN HOTMIX </w:t>
      </w:r>
    </w:p>
    <w:p w14:paraId="2762FEEE">
      <w:pPr>
        <w:keepNext w:val="0"/>
        <w:keepLines w:val="0"/>
        <w:pageBreakBefore w:val="0"/>
        <w:widowControl/>
        <w:kinsoku/>
        <w:wordWrap/>
        <w:overflowPunct/>
        <w:topLinePunct w:val="0"/>
        <w:autoSpaceDE/>
        <w:autoSpaceDN/>
        <w:bidi w:val="0"/>
        <w:adjustRightInd/>
        <w:snapToGrid/>
        <w:spacing w:after="0" w:line="360" w:lineRule="auto"/>
        <w:ind w:left="-440" w:leftChars="-200" w:right="-48" w:rightChars="-22" w:firstLine="0" w:firstLineChars="0"/>
        <w:jc w:val="center"/>
        <w:textAlignment w:val="auto"/>
        <w:rPr>
          <w:rFonts w:hint="default" w:ascii="Times New Roman" w:hAnsi="Times New Roman" w:eastAsia="SimSun" w:cs="Times New Roman"/>
          <w:b/>
          <w:bCs/>
          <w:sz w:val="28"/>
          <w:szCs w:val="28"/>
          <w:shd w:val="clear" w:color="auto" w:fill="auto"/>
          <w:lang w:val="en-US"/>
        </w:rPr>
      </w:pPr>
      <w:r>
        <w:rPr>
          <w:rFonts w:hint="default" w:ascii="Times New Roman" w:hAnsi="Times New Roman" w:eastAsia="SimSun" w:cs="Times New Roman"/>
          <w:b/>
          <w:bCs/>
          <w:sz w:val="28"/>
          <w:szCs w:val="28"/>
          <w:shd w:val="clear" w:color="auto" w:fill="auto"/>
        </w:rPr>
        <w:t>DENGAN METODE</w:t>
      </w:r>
      <w:r>
        <w:rPr>
          <w:rFonts w:hint="default" w:ascii="Times New Roman" w:hAnsi="Times New Roman" w:eastAsia="SimSun" w:cs="Times New Roman"/>
          <w:b/>
          <w:bCs/>
          <w:sz w:val="28"/>
          <w:szCs w:val="28"/>
          <w:shd w:val="clear" w:color="auto" w:fill="auto"/>
          <w:lang w:val="en-US"/>
        </w:rPr>
        <w:t xml:space="preserve"> </w:t>
      </w:r>
      <w:r>
        <w:rPr>
          <w:rFonts w:hint="default" w:ascii="Times New Roman" w:hAnsi="Times New Roman" w:eastAsia="SimSun" w:cs="Times New Roman"/>
          <w:b/>
          <w:bCs/>
          <w:i/>
          <w:iCs/>
          <w:sz w:val="28"/>
          <w:szCs w:val="28"/>
          <w:shd w:val="clear" w:color="auto" w:fill="auto"/>
        </w:rPr>
        <w:t>HAZARD IDENTIFICATION</w:t>
      </w:r>
      <w:r>
        <w:rPr>
          <w:rFonts w:hint="default" w:ascii="Times New Roman" w:hAnsi="Times New Roman" w:eastAsia="SimSun" w:cs="Times New Roman"/>
          <w:b/>
          <w:bCs/>
          <w:i/>
          <w:iCs/>
          <w:sz w:val="28"/>
          <w:szCs w:val="28"/>
          <w:shd w:val="clear" w:color="auto" w:fill="auto"/>
          <w:lang w:val="en-US"/>
        </w:rPr>
        <w:t xml:space="preserve"> </w:t>
      </w:r>
      <w:r>
        <w:rPr>
          <w:rFonts w:hint="default" w:ascii="Times New Roman" w:hAnsi="Times New Roman" w:eastAsia="SimSun" w:cs="Times New Roman"/>
          <w:b/>
          <w:bCs/>
          <w:sz w:val="28"/>
          <w:szCs w:val="28"/>
          <w:shd w:val="clear" w:color="auto" w:fill="auto"/>
          <w:lang w:val="en-US"/>
        </w:rPr>
        <w:t xml:space="preserve">DAN </w:t>
      </w:r>
    </w:p>
    <w:p w14:paraId="4B8A8630">
      <w:pPr>
        <w:keepNext w:val="0"/>
        <w:keepLines w:val="0"/>
        <w:pageBreakBefore w:val="0"/>
        <w:widowControl/>
        <w:kinsoku/>
        <w:wordWrap/>
        <w:overflowPunct/>
        <w:topLinePunct w:val="0"/>
        <w:autoSpaceDE/>
        <w:autoSpaceDN/>
        <w:bidi w:val="0"/>
        <w:adjustRightInd/>
        <w:snapToGrid/>
        <w:spacing w:after="0" w:line="360" w:lineRule="auto"/>
        <w:ind w:left="-440" w:leftChars="-200" w:right="-48" w:rightChars="-22" w:firstLine="0" w:firstLineChars="0"/>
        <w:jc w:val="center"/>
        <w:textAlignment w:val="auto"/>
        <w:rPr>
          <w:rFonts w:hint="default" w:ascii="Times New Roman" w:hAnsi="Times New Roman" w:eastAsia="SimSun" w:cs="Times New Roman"/>
          <w:b/>
          <w:bCs/>
          <w:sz w:val="28"/>
          <w:szCs w:val="28"/>
          <w:shd w:val="clear" w:color="auto" w:fill="auto"/>
        </w:rPr>
      </w:pPr>
      <w:r>
        <w:rPr>
          <w:rFonts w:hint="default" w:ascii="Times New Roman" w:hAnsi="Times New Roman" w:eastAsia="SimSun" w:cs="Times New Roman"/>
          <w:b/>
          <w:bCs/>
          <w:i/>
          <w:iCs/>
          <w:sz w:val="28"/>
          <w:szCs w:val="28"/>
          <w:shd w:val="clear" w:color="auto" w:fill="auto"/>
        </w:rPr>
        <w:t>RISK</w:t>
      </w:r>
      <w:r>
        <w:rPr>
          <w:rFonts w:hint="default" w:ascii="Times New Roman" w:hAnsi="Times New Roman" w:eastAsia="SimSun" w:cs="Times New Roman"/>
          <w:b/>
          <w:bCs/>
          <w:i/>
          <w:iCs/>
          <w:sz w:val="28"/>
          <w:szCs w:val="28"/>
          <w:shd w:val="clear" w:color="auto" w:fill="auto"/>
          <w:lang w:val="en-US"/>
        </w:rPr>
        <w:t xml:space="preserve"> </w:t>
      </w:r>
      <w:r>
        <w:rPr>
          <w:rFonts w:hint="default" w:ascii="Times New Roman" w:hAnsi="Times New Roman" w:eastAsia="SimSun" w:cs="Times New Roman"/>
          <w:b/>
          <w:bCs/>
          <w:i/>
          <w:iCs/>
          <w:sz w:val="28"/>
          <w:szCs w:val="28"/>
          <w:shd w:val="clear" w:color="auto" w:fill="auto"/>
        </w:rPr>
        <w:t>ASSESSMENT</w:t>
      </w:r>
      <w:r>
        <w:rPr>
          <w:rFonts w:hint="default" w:ascii="Times New Roman" w:hAnsi="Times New Roman" w:eastAsia="SimSun" w:cs="Times New Roman"/>
          <w:b/>
          <w:bCs/>
          <w:sz w:val="28"/>
          <w:szCs w:val="28"/>
          <w:shd w:val="clear" w:color="auto" w:fill="auto"/>
        </w:rPr>
        <w:t xml:space="preserve"> (HIRA)</w:t>
      </w:r>
      <w:r>
        <w:rPr>
          <w:rFonts w:hint="default" w:ascii="Times New Roman" w:hAnsi="Times New Roman" w:eastAsia="SimSun" w:cs="Times New Roman"/>
          <w:b/>
          <w:bCs/>
          <w:sz w:val="28"/>
          <w:szCs w:val="28"/>
          <w:shd w:val="clear" w:color="auto" w:fill="auto"/>
          <w:lang w:val="en-US"/>
        </w:rPr>
        <w:t xml:space="preserve"> </w:t>
      </w:r>
      <w:r>
        <w:rPr>
          <w:rFonts w:hint="default" w:ascii="Times New Roman" w:hAnsi="Times New Roman" w:eastAsia="SimSun" w:cs="Times New Roman"/>
          <w:b/>
          <w:bCs/>
          <w:sz w:val="28"/>
          <w:szCs w:val="28"/>
          <w:shd w:val="clear" w:color="auto" w:fill="auto"/>
        </w:rPr>
        <w:t>DI CV MULTI</w:t>
      </w:r>
      <w:r>
        <w:rPr>
          <w:rFonts w:hint="default" w:ascii="Times New Roman" w:hAnsi="Times New Roman" w:eastAsia="SimSun" w:cs="Times New Roman"/>
          <w:b/>
          <w:bCs/>
          <w:sz w:val="28"/>
          <w:szCs w:val="28"/>
          <w:shd w:val="clear" w:color="auto" w:fill="auto"/>
          <w:lang w:val="en-US"/>
        </w:rPr>
        <w:t xml:space="preserve"> </w:t>
      </w:r>
      <w:r>
        <w:rPr>
          <w:rFonts w:hint="default" w:ascii="Times New Roman" w:hAnsi="Times New Roman" w:eastAsia="SimSun" w:cs="Times New Roman"/>
          <w:b/>
          <w:bCs/>
          <w:sz w:val="28"/>
          <w:szCs w:val="28"/>
          <w:shd w:val="clear" w:color="auto" w:fill="auto"/>
        </w:rPr>
        <w:t>DAYA</w:t>
      </w:r>
    </w:p>
    <w:p w14:paraId="394FA8DF">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Times New Roman" w:hAnsi="Times New Roman" w:cs="Times New Roman"/>
          <w:color w:val="222222"/>
          <w:sz w:val="28"/>
          <w:szCs w:val="28"/>
        </w:rPr>
      </w:pPr>
      <w:r>
        <w:rPr>
          <w:rFonts w:hint="default" w:ascii="Times New Roman" w:hAnsi="Times New Roman" w:eastAsia="SimSun" w:cs="Times New Roman"/>
          <w:b/>
          <w:bCs/>
          <w:sz w:val="28"/>
          <w:szCs w:val="28"/>
          <w:shd w:val="clear" w:color="auto" w:fill="auto"/>
        </w:rPr>
        <w:t>PANAEKAN–MANONJAYA</w:t>
      </w:r>
    </w:p>
    <w:p w14:paraId="0BE3999A">
      <w:pPr>
        <w:keepNext w:val="0"/>
        <w:keepLines w:val="0"/>
        <w:pageBreakBefore w:val="0"/>
        <w:widowControl/>
        <w:kinsoku/>
        <w:wordWrap/>
        <w:overflowPunct/>
        <w:topLinePunct w:val="0"/>
        <w:bidi w:val="0"/>
        <w:spacing w:after="0" w:line="360" w:lineRule="auto"/>
        <w:jc w:val="center"/>
        <w:textAlignment w:val="auto"/>
        <w:rPr>
          <w:rFonts w:ascii="Times New Roman" w:hAnsi="Times New Roman" w:cs="Times New Roman"/>
          <w:b/>
          <w:sz w:val="28"/>
          <w:szCs w:val="28"/>
        </w:rPr>
      </w:pPr>
    </w:p>
    <w:p w14:paraId="34D62764">
      <w:pPr>
        <w:pStyle w:val="10"/>
        <w:keepNext w:val="0"/>
        <w:keepLines w:val="0"/>
        <w:pageBreakBefore w:val="0"/>
        <w:widowControl/>
        <w:shd w:val="clear" w:color="auto" w:fill="FFFFFF"/>
        <w:kinsoku/>
        <w:wordWrap/>
        <w:overflowPunct/>
        <w:topLinePunct w:val="0"/>
        <w:bidi w:val="0"/>
        <w:spacing w:before="0" w:beforeAutospacing="0" w:after="0" w:afterAutospacing="0" w:line="360" w:lineRule="auto"/>
        <w:jc w:val="center"/>
        <w:textAlignment w:val="auto"/>
        <w:rPr>
          <w:rFonts w:hint="default"/>
          <w:color w:val="222222"/>
          <w:lang w:val="en-US"/>
        </w:rPr>
      </w:pPr>
      <w:r>
        <w:rPr>
          <w:rFonts w:hint="default"/>
          <w:color w:val="222222"/>
          <w:lang w:val="en-US"/>
        </w:rPr>
        <w:t>Dede Febri</w:t>
      </w:r>
    </w:p>
    <w:p w14:paraId="03D9A3E1">
      <w:pPr>
        <w:keepNext w:val="0"/>
        <w:keepLines w:val="0"/>
        <w:pageBreakBefore w:val="0"/>
        <w:widowControl/>
        <w:kinsoku/>
        <w:wordWrap/>
        <w:overflowPunct/>
        <w:topLinePunct w:val="0"/>
        <w:bidi w:val="0"/>
        <w:spacing w:after="0" w:line="360" w:lineRule="auto"/>
        <w:textAlignment w:val="auto"/>
        <w:rPr>
          <w:lang w:val="en-GB" w:eastAsia="en-GB"/>
        </w:rPr>
      </w:pPr>
    </w:p>
    <w:p w14:paraId="704FE211">
      <w:pPr>
        <w:keepNext w:val="0"/>
        <w:keepLines w:val="0"/>
        <w:pageBreakBefore w:val="0"/>
        <w:widowControl/>
        <w:kinsoku/>
        <w:wordWrap/>
        <w:overflowPunct/>
        <w:topLinePunct w:val="0"/>
        <w:autoSpaceDE/>
        <w:autoSpaceDN/>
        <w:bidi w:val="0"/>
        <w:adjustRightInd/>
        <w:snapToGrid/>
        <w:spacing w:line="360" w:lineRule="auto"/>
        <w:jc w:val="center"/>
        <w:textAlignment w:val="auto"/>
        <w:rPr>
          <w:color w:val="222222"/>
        </w:rPr>
      </w:pPr>
      <w:r>
        <w:rPr>
          <w:rFonts w:hint="default" w:ascii="Times New Roman" w:hAnsi="Times New Roman" w:eastAsia="SimSun" w:cs="Times New Roman"/>
          <w:b w:val="0"/>
          <w:bCs w:val="0"/>
          <w:sz w:val="20"/>
          <w:szCs w:val="20"/>
          <w:shd w:val="clear" w:color="auto" w:fill="auto"/>
          <w:lang w:val="en-US"/>
        </w:rPr>
        <w:t>Program Studi Teknik Industri, Fakultas Teknik, Universitas Galuh Ciamis</w:t>
      </w:r>
      <w:r>
        <w:rPr>
          <w:color w:val="222222"/>
        </w:rPr>
        <w:t xml:space="preserve"> </w:t>
      </w:r>
    </w:p>
    <w:p w14:paraId="348779C2">
      <w:pPr>
        <w:keepNext w:val="0"/>
        <w:keepLines w:val="0"/>
        <w:pageBreakBefore w:val="0"/>
        <w:widowControl/>
        <w:kinsoku/>
        <w:wordWrap/>
        <w:overflowPunct/>
        <w:topLinePunct w:val="0"/>
        <w:bidi w:val="0"/>
        <w:spacing w:after="0" w:line="360" w:lineRule="auto"/>
        <w:jc w:val="center"/>
        <w:textAlignment w:val="auto"/>
        <w:rPr>
          <w:rFonts w:ascii="Times New Roman" w:hAnsi="Times New Roman" w:cs="Times New Roman"/>
          <w:i/>
          <w:color w:val="222222"/>
          <w:sz w:val="20"/>
          <w:szCs w:val="20"/>
        </w:rPr>
      </w:pPr>
      <w:r>
        <w:rPr>
          <w:rFonts w:ascii="Times New Roman" w:hAnsi="Times New Roman" w:cs="Times New Roman"/>
          <w:i/>
          <w:color w:val="222222"/>
          <w:sz w:val="20"/>
          <w:szCs w:val="20"/>
        </w:rPr>
        <w:t>E-mail:</w:t>
      </w:r>
      <w:r>
        <w:rPr>
          <w:rFonts w:hint="default" w:ascii="Times New Roman" w:hAnsi="Times New Roman" w:eastAsia="SimSun" w:cs="Times New Roman"/>
          <w:b w:val="0"/>
          <w:bCs w:val="0"/>
          <w:i/>
          <w:iCs/>
          <w:sz w:val="20"/>
          <w:szCs w:val="20"/>
          <w:shd w:val="clear" w:color="auto" w:fill="auto"/>
          <w:lang w:val="en-US"/>
        </w:rPr>
        <w:t>dfebri03022003@gmail.com</w:t>
      </w:r>
    </w:p>
    <w:p w14:paraId="2A20FABE">
      <w:pPr>
        <w:keepNext w:val="0"/>
        <w:keepLines w:val="0"/>
        <w:pageBreakBefore w:val="0"/>
        <w:widowControl/>
        <w:kinsoku/>
        <w:wordWrap/>
        <w:overflowPunct/>
        <w:topLinePunct w:val="0"/>
        <w:bidi w:val="0"/>
        <w:spacing w:after="0" w:line="360" w:lineRule="auto"/>
        <w:jc w:val="both"/>
        <w:textAlignment w:val="auto"/>
        <w:rPr>
          <w:i/>
          <w:sz w:val="20"/>
          <w:szCs w:val="20"/>
          <w:lang w:val="en-GB" w:eastAsia="en-GB"/>
        </w:rPr>
      </w:pPr>
    </w:p>
    <w:p w14:paraId="50435A84">
      <w:pPr>
        <w:keepNext w:val="0"/>
        <w:keepLines w:val="0"/>
        <w:pageBreakBefore w:val="0"/>
        <w:widowControl/>
        <w:kinsoku/>
        <w:wordWrap/>
        <w:overflowPunct/>
        <w:topLinePunct w:val="0"/>
        <w:bidi w:val="0"/>
        <w:spacing w:after="0" w:line="360" w:lineRule="auto"/>
        <w:jc w:val="both"/>
        <w:textAlignment w:val="auto"/>
        <w:rPr>
          <w:i/>
          <w:sz w:val="20"/>
          <w:szCs w:val="20"/>
          <w:lang w:val="en-GB" w:eastAsia="en-GB"/>
        </w:rPr>
      </w:pPr>
    </w:p>
    <w:p w14:paraId="50C9B0BD">
      <w:pPr>
        <w:pStyle w:val="10"/>
        <w:keepNext w:val="0"/>
        <w:keepLines w:val="0"/>
        <w:pageBreakBefore w:val="0"/>
        <w:widowControl/>
        <w:shd w:val="clear" w:color="auto" w:fill="FFFFFF"/>
        <w:kinsoku/>
        <w:wordWrap/>
        <w:overflowPunct/>
        <w:topLinePunct w:val="0"/>
        <w:bidi w:val="0"/>
        <w:spacing w:before="0" w:beforeAutospacing="0" w:after="0" w:afterAutospacing="0" w:line="360" w:lineRule="auto"/>
        <w:jc w:val="center"/>
        <w:textAlignment w:val="auto"/>
        <w:rPr>
          <w:color w:val="222222"/>
        </w:rPr>
      </w:pPr>
      <w:r>
        <w:rPr>
          <w:b/>
          <w:i/>
          <w:color w:val="222222"/>
        </w:rPr>
        <w:t>Abstract</w:t>
      </w:r>
      <w:r>
        <w:rPr>
          <w:b/>
          <w:color w:val="222222"/>
        </w:rPr>
        <w:t xml:space="preserve"> </w:t>
      </w:r>
    </w:p>
    <w:p w14:paraId="080C6DC5">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i/>
          <w:iCs/>
        </w:rPr>
      </w:pPr>
      <w:r>
        <w:rPr>
          <w:rStyle w:val="11"/>
          <w:b w:val="0"/>
          <w:bCs w:val="0"/>
          <w:i/>
          <w:iCs/>
          <w:sz w:val="20"/>
          <w:szCs w:val="20"/>
        </w:rPr>
        <w:t>Occupational Health and Safety (OHS)</w:t>
      </w:r>
      <w:r>
        <w:rPr>
          <w:b w:val="0"/>
          <w:bCs w:val="0"/>
          <w:i/>
          <w:iCs/>
          <w:sz w:val="20"/>
          <w:szCs w:val="20"/>
        </w:rPr>
        <w:t xml:space="preserve"> is an essential element in the construction industry, including hotmix construction projects, which have a relatively high risk of workplace accidents. Activities such as material transportation, asphalt spreading, and the operation of heavy equipment have the potential to create hazards that may affect worker safety. Therefore, a systematic hazard identification and risk assessment system is required to prevent workplace accidents.</w:t>
      </w:r>
      <w:r>
        <w:rPr>
          <w:rFonts w:hint="default"/>
          <w:b w:val="0"/>
          <w:bCs w:val="0"/>
          <w:i/>
          <w:iCs/>
          <w:sz w:val="20"/>
          <w:szCs w:val="20"/>
          <w:lang w:val="en-US"/>
        </w:rPr>
        <w:t xml:space="preserve"> </w:t>
      </w:r>
      <w:r>
        <w:rPr>
          <w:b w:val="0"/>
          <w:bCs w:val="0"/>
          <w:i/>
          <w:iCs/>
          <w:sz w:val="20"/>
          <w:szCs w:val="20"/>
        </w:rPr>
        <w:t xml:space="preserve">This study aims to identify potential hazards arising from work processes in hotmix construction projects and to assess the level of risk using the </w:t>
      </w:r>
      <w:r>
        <w:rPr>
          <w:rStyle w:val="11"/>
          <w:b w:val="0"/>
          <w:bCs w:val="0"/>
          <w:i/>
          <w:iCs/>
          <w:sz w:val="20"/>
          <w:szCs w:val="20"/>
        </w:rPr>
        <w:t>Hazard Identification and Risk Assessment (HIRA)</w:t>
      </w:r>
      <w:r>
        <w:rPr>
          <w:b w:val="0"/>
          <w:bCs w:val="0"/>
          <w:i/>
          <w:iCs/>
          <w:sz w:val="20"/>
          <w:szCs w:val="20"/>
        </w:rPr>
        <w:t xml:space="preserve"> method. The research method used is descriptive qualitative, with data collection techniques including direct field observation, worker interviews, and documentation of work processes. The data obtained were analyzed based on severity and probability levels, then classified into risk categories to determine appropriate risk control recommendations.</w:t>
      </w:r>
    </w:p>
    <w:p w14:paraId="52197D82">
      <w:pPr>
        <w:pStyle w:val="10"/>
        <w:keepNext w:val="0"/>
        <w:keepLines w:val="0"/>
        <w:pageBreakBefore w:val="0"/>
        <w:widowControl/>
        <w:shd w:val="clear" w:color="auto" w:fill="FFFFFF"/>
        <w:kinsoku/>
        <w:wordWrap/>
        <w:overflowPunct/>
        <w:topLinePunct w:val="0"/>
        <w:bidi w:val="0"/>
        <w:spacing w:before="0" w:beforeAutospacing="0" w:after="0" w:afterAutospacing="0" w:line="240" w:lineRule="auto"/>
        <w:jc w:val="both"/>
        <w:textAlignment w:val="auto"/>
        <w:rPr>
          <w:color w:val="222222"/>
        </w:rPr>
      </w:pPr>
    </w:p>
    <w:p w14:paraId="7C9AF9FA">
      <w:pPr>
        <w:pStyle w:val="10"/>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i/>
          <w:color w:val="222222"/>
          <w:sz w:val="20"/>
          <w:szCs w:val="20"/>
        </w:rPr>
      </w:pPr>
      <w:r>
        <w:rPr>
          <w:rStyle w:val="11"/>
          <w:rFonts w:hint="default" w:ascii="Times New Roman" w:hAnsi="Times New Roman" w:eastAsia="SimSun" w:cs="Times New Roman"/>
          <w:b w:val="0"/>
          <w:bCs w:val="0"/>
          <w:i/>
          <w:iCs/>
          <w:sz w:val="20"/>
          <w:szCs w:val="20"/>
        </w:rPr>
        <w:t>Keywords:</w:t>
      </w:r>
      <w:r>
        <w:rPr>
          <w:rFonts w:hint="default" w:ascii="Times New Roman" w:hAnsi="Times New Roman" w:eastAsia="SimSun" w:cs="Times New Roman"/>
          <w:b w:val="0"/>
          <w:bCs w:val="0"/>
          <w:i/>
          <w:iCs/>
          <w:sz w:val="20"/>
          <w:szCs w:val="20"/>
        </w:rPr>
        <w:t xml:space="preserve"> Occupational Health and Safety (OHS), hotmix construction, HIRA, work hazards, work risks</w:t>
      </w:r>
    </w:p>
    <w:p w14:paraId="38864AAF">
      <w:pPr>
        <w:pStyle w:val="22"/>
        <w:keepNext w:val="0"/>
        <w:keepLines w:val="0"/>
        <w:pageBreakBefore w:val="0"/>
        <w:widowControl/>
        <w:kinsoku/>
        <w:wordWrap/>
        <w:overflowPunct/>
        <w:topLinePunct w:val="0"/>
        <w:bidi w:val="0"/>
        <w:spacing w:after="0" w:line="360" w:lineRule="auto"/>
        <w:textAlignment w:val="auto"/>
        <w:rPr>
          <w:rFonts w:ascii="Arial" w:hAnsi="Arial" w:cs="Arial"/>
          <w:lang w:val="sv-SE"/>
        </w:rPr>
      </w:pPr>
    </w:p>
    <w:p w14:paraId="58BD9397">
      <w:pPr>
        <w:pStyle w:val="10"/>
        <w:keepNext w:val="0"/>
        <w:keepLines w:val="0"/>
        <w:pageBreakBefore w:val="0"/>
        <w:widowControl/>
        <w:shd w:val="clear" w:color="auto" w:fill="FFFFFF"/>
        <w:kinsoku/>
        <w:wordWrap/>
        <w:overflowPunct/>
        <w:topLinePunct w:val="0"/>
        <w:bidi w:val="0"/>
        <w:spacing w:before="0" w:beforeAutospacing="0" w:after="0" w:afterAutospacing="0" w:line="360" w:lineRule="auto"/>
        <w:jc w:val="center"/>
        <w:textAlignment w:val="auto"/>
        <w:rPr>
          <w:color w:val="222222"/>
          <w:sz w:val="24"/>
          <w:szCs w:val="24"/>
        </w:rPr>
      </w:pPr>
      <w:r>
        <w:rPr>
          <w:b/>
          <w:color w:val="222222"/>
        </w:rPr>
        <w:t>Abstrak</w:t>
      </w:r>
    </w:p>
    <w:p w14:paraId="7956E7D5">
      <w:pPr>
        <w:pStyle w:val="10"/>
        <w:keepNext w:val="0"/>
        <w:keepLines w:val="0"/>
        <w:pageBreakBefore w:val="0"/>
        <w:widowControl/>
        <w:shd w:val="clear" w:color="auto" w:fill="FFFFFF"/>
        <w:kinsoku/>
        <w:wordWrap/>
        <w:overflowPunct/>
        <w:topLinePunct w:val="0"/>
        <w:bidi w:val="0"/>
        <w:spacing w:before="0" w:beforeAutospacing="0" w:after="0" w:afterAutospacing="0" w:line="240" w:lineRule="auto"/>
        <w:jc w:val="both"/>
        <w:textAlignment w:val="auto"/>
        <w:rPr>
          <w:color w:val="222222"/>
          <w:sz w:val="20"/>
          <w:szCs w:val="20"/>
        </w:rPr>
      </w:pPr>
      <w:r>
        <w:rPr>
          <w:rFonts w:hint="default" w:ascii="Times New Roman" w:hAnsi="Times New Roman" w:eastAsia="SimSun" w:cs="Times New Roman"/>
          <w:sz w:val="20"/>
          <w:szCs w:val="20"/>
        </w:rPr>
        <w:t>Keselamatan dan kesehatan kerja (K3) merupakan elemen penting dalam industri konstruksi, termasuk pada proyek pengerjaan hotmix, yang memiliki tingkat risiko kecelakaan kerja cukup tinggi. Aktivitas seperti pengangkutan material, penghamparan aspal, hingga pengoperasian alat berat berpotensi menimbulkan bahaya yang dapat berdampak pada keselamatan pekerja. Oleh karena itu, diperlukan sistem identifikasi dan penilaian risiko yang sistematis guna mencegah terjadinya kecelakaan kerja. Penelitian ini bertujuan untuk mengidentifikasi potensi bahaya yang muncul pada proses kerja di proyek konstruksi hotmix serta melakukan penilaian tingkat risiko dengan menggunakan metode Hazard Identification and Risk Assessment (HIRA). Metode penelitian yang digunakan adalah deskriptif kualitatif, dengan teknik pengumpulan data melalui observasi langsung di lapangan, wawancara dengan pekerja, serta dokumentasi proses kerja. Data yang diperoleh dianalisis berdasarkan tingkat severity dan probability, kemudian diklasifikasikan ke dalam kategori risiko untuk menentukan rekomendasi pengendalian yang tepat</w:t>
      </w:r>
      <w:r>
        <w:rPr>
          <w:color w:val="222222"/>
          <w:sz w:val="20"/>
          <w:szCs w:val="20"/>
        </w:rPr>
        <w:t>.</w:t>
      </w:r>
    </w:p>
    <w:p w14:paraId="29755AC1">
      <w:pPr>
        <w:pStyle w:val="10"/>
        <w:keepNext w:val="0"/>
        <w:keepLines w:val="0"/>
        <w:pageBreakBefore w:val="0"/>
        <w:widowControl/>
        <w:shd w:val="clear" w:color="auto" w:fill="FFFFFF"/>
        <w:kinsoku/>
        <w:wordWrap/>
        <w:overflowPunct/>
        <w:topLinePunct w:val="0"/>
        <w:bidi w:val="0"/>
        <w:spacing w:before="0" w:beforeAutospacing="0" w:after="0" w:afterAutospacing="0" w:line="240" w:lineRule="auto"/>
        <w:jc w:val="both"/>
        <w:textAlignment w:val="auto"/>
        <w:rPr>
          <w:color w:val="222222"/>
          <w:sz w:val="24"/>
          <w:szCs w:val="24"/>
        </w:rPr>
      </w:pPr>
    </w:p>
    <w:p w14:paraId="01DF310F">
      <w:pPr>
        <w:pStyle w:val="10"/>
        <w:keepNext w:val="0"/>
        <w:keepLines w:val="0"/>
        <w:pageBreakBefore w:val="0"/>
        <w:widowControl/>
        <w:shd w:val="clear" w:color="auto" w:fill="FFFFFF"/>
        <w:kinsoku/>
        <w:wordWrap/>
        <w:overflowPunct/>
        <w:topLinePunct w:val="0"/>
        <w:bidi w:val="0"/>
        <w:spacing w:before="0" w:beforeAutospacing="0" w:after="0" w:afterAutospacing="0" w:line="240" w:lineRule="auto"/>
        <w:jc w:val="both"/>
        <w:textAlignment w:val="auto"/>
        <w:rPr>
          <w:rFonts w:ascii="Times New Roman" w:hAnsi="Times New Roman" w:cs="Times New Roman"/>
          <w:color w:val="222222"/>
          <w:sz w:val="24"/>
          <w:szCs w:val="24"/>
        </w:rPr>
      </w:pPr>
      <w:r>
        <w:rPr>
          <w:color w:val="222222"/>
          <w:sz w:val="20"/>
          <w:szCs w:val="20"/>
        </w:rPr>
        <w:t xml:space="preserve">Kata Kunci: </w:t>
      </w:r>
      <w:r>
        <w:rPr>
          <w:rFonts w:hint="default" w:ascii="Times New Roman" w:hAnsi="Times New Roman" w:eastAsia="SimSun" w:cs="Times New Roman"/>
          <w:sz w:val="20"/>
          <w:szCs w:val="20"/>
        </w:rPr>
        <w:t>K3, konstruksi hotmix, HIRA, bahaya kerja, risiko kerja</w:t>
      </w:r>
    </w:p>
    <w:p w14:paraId="0F8D8F39">
      <w:pPr>
        <w:pStyle w:val="17"/>
        <w:spacing w:line="240" w:lineRule="auto"/>
        <w:jc w:val="center"/>
        <w:rPr>
          <w:rFonts w:ascii="Times New Roman" w:hAnsi="Times New Roman" w:cs="Times New Roman"/>
          <w:color w:val="222222"/>
          <w:sz w:val="24"/>
          <w:szCs w:val="24"/>
        </w:rPr>
      </w:pPr>
    </w:p>
    <w:p w14:paraId="32ABED4E">
      <w:pPr>
        <w:spacing w:after="0" w:line="240" w:lineRule="auto"/>
        <w:jc w:val="both"/>
        <w:rPr>
          <w:rFonts w:ascii="Arial" w:hAnsi="Arial" w:cs="Arial"/>
          <w:sz w:val="20"/>
          <w:szCs w:val="24"/>
          <w:highlight w:val="yellow"/>
        </w:rPr>
        <w:sectPr>
          <w:headerReference r:id="rId7" w:type="first"/>
          <w:footerReference r:id="rId10" w:type="first"/>
          <w:headerReference r:id="rId5" w:type="default"/>
          <w:footerReference r:id="rId8" w:type="default"/>
          <w:headerReference r:id="rId6" w:type="even"/>
          <w:footerReference r:id="rId9" w:type="even"/>
          <w:pgSz w:w="11907" w:h="16840"/>
          <w:pgMar w:top="1985" w:right="1134" w:bottom="1418" w:left="1134" w:header="907" w:footer="907" w:gutter="0"/>
          <w:pgNumType w:start="1"/>
          <w:cols w:space="708" w:num="1"/>
          <w:docGrid w:linePitch="360" w:charSpace="0"/>
        </w:sectPr>
      </w:pPr>
    </w:p>
    <w:p w14:paraId="7E294BE6">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Style w:val="11"/>
          <w:rFonts w:hint="default" w:ascii="Times New Roman" w:hAnsi="Times New Roman" w:cs="Times New Roman"/>
          <w:b/>
          <w:bCs/>
          <w:sz w:val="24"/>
          <w:szCs w:val="24"/>
        </w:rPr>
      </w:pPr>
      <w:r>
        <w:rPr>
          <w:rStyle w:val="11"/>
          <w:rFonts w:hint="default" w:ascii="Times New Roman" w:hAnsi="Times New Roman" w:cs="Times New Roman"/>
          <w:b/>
          <w:bCs/>
          <w:sz w:val="24"/>
          <w:szCs w:val="24"/>
        </w:rPr>
        <w:t>PENDAHULUAN</w:t>
      </w:r>
    </w:p>
    <w:p w14:paraId="400DDED2">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Keselamatan dan kesehatan kerja (K3) merupakan aspek fundamental dalam sistem manajemen kerja, terutama pada sektor dengan risiko tinggi seperti industri konstruksi. K3 bertujuan untuk melindungi tenaga kerja dari berbagai potensi bahaya fisik, kimia, mental, maupun emosional di lingkungan kerja, serta berkontribusi terhadap peningkatan produktivitas dan efisiensi operasional. Namun, dalam praktiknya masih banyak perusahaan yang belum melaksanakan proses identifikasi dan penilaian risiko secara optimal (Malik, 2023). </w:t>
      </w:r>
    </w:p>
    <w:p w14:paraId="6C5D4153">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Data dari </w:t>
      </w:r>
      <w:r>
        <w:rPr>
          <w:rFonts w:hint="default" w:ascii="Times New Roman" w:hAnsi="Times New Roman" w:eastAsia="SimSun" w:cs="Times New Roman"/>
          <w:i/>
          <w:iCs/>
          <w:sz w:val="24"/>
          <w:szCs w:val="24"/>
        </w:rPr>
        <w:t>International Labour Organization</w:t>
      </w:r>
      <w:r>
        <w:rPr>
          <w:rFonts w:hint="default" w:ascii="Times New Roman" w:hAnsi="Times New Roman" w:eastAsia="SimSun" w:cs="Times New Roman"/>
          <w:sz w:val="24"/>
          <w:szCs w:val="24"/>
        </w:rPr>
        <w:t xml:space="preserve"> (ILO) menunjukkan bahwa sekitar 2,78 juta pekerja di dunia meninggal setiap tahun akibat kecelakaan dan penyakit kerja (Nurlina et al., 2024), sementara di Indonesia angka kecelakaan kerja juga terus meningkat, dari 105.182 kasus pada tahun 2016 menjadi 173.105 kasus pada tahun 2018 (Kementerian Tenaga Kerja, 2018). Kondisi ini menunjukkan pentingnya upaya pengendalian risiko melalui pendekatan sistematis, salah satunya dengan metode </w:t>
      </w:r>
      <w:r>
        <w:rPr>
          <w:rFonts w:hint="default" w:ascii="Times New Roman" w:hAnsi="Times New Roman" w:eastAsia="SimSun" w:cs="Times New Roman"/>
          <w:i/>
          <w:iCs/>
          <w:sz w:val="24"/>
          <w:szCs w:val="24"/>
        </w:rPr>
        <w:t>Hazard Identification and Risk Assessment</w:t>
      </w:r>
      <w:r>
        <w:rPr>
          <w:rFonts w:hint="default" w:ascii="Times New Roman" w:hAnsi="Times New Roman" w:eastAsia="SimSun" w:cs="Times New Roman"/>
          <w:sz w:val="24"/>
          <w:szCs w:val="24"/>
        </w:rPr>
        <w:t xml:space="preserve"> (HIRA) yang digunakan untuk mengidentifikasi dan menilai potensi bahaya dalam setiap aktivitas kerja. </w:t>
      </w:r>
    </w:p>
    <w:p w14:paraId="1EC7D45E">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CV Multi Daya sebagai perusahaan konstruksi jalan dengan aktivitas produksi hotmix memiliki risiko kerja yang tinggi, namun penerapan K3 di lapangan masih belum optimal, ditandai dengan kurangnya penggunaan alat pelindung diri (APD) serta belum adanya sistem identifikasi dan penilaian risiko yang terdokumentasi dengan baik. Oleh karena itu, penelitian ini bertujuan untuk menganalisis dan mengevaluasi risiko keselamatan kerja di CV Multi Daya menggunakan metode HIRA sebagai dasar dalam menentukan strategi pengendalian dan pencegahan kecelakaan kerja.</w:t>
      </w:r>
    </w:p>
    <w:p w14:paraId="5C30D837">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rPr>
      </w:pPr>
    </w:p>
    <w:p w14:paraId="14C59F4E">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r>
        <w:rPr>
          <w:rStyle w:val="11"/>
          <w:rFonts w:hint="default" w:ascii="Times New Roman" w:hAnsi="Times New Roman" w:cs="Times New Roman"/>
          <w:b/>
          <w:bCs/>
          <w:sz w:val="24"/>
          <w:szCs w:val="24"/>
        </w:rPr>
        <w:t>METODE PENELITIAN</w:t>
      </w:r>
    </w:p>
    <w:p w14:paraId="4DF9FCBB">
      <w:pPr>
        <w:keepNext w:val="0"/>
        <w:keepLines w:val="0"/>
        <w:pageBreakBefore w:val="0"/>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Data yang diperoleh dari observasi dan wawancara dianalisis secara deskriptif untuk mengetahui jenis bahaya dan tingkat risiko di setiap tahapan proses kerja. Matriks penilaian risiko mengacu pada dua variabel utama, yaitu:</w:t>
      </w:r>
    </w:p>
    <w:p w14:paraId="0A615FDD">
      <w:pPr>
        <w:keepNext w:val="0"/>
        <w:keepLines w:val="0"/>
        <w:pageBreakBefore w:val="0"/>
        <w:numPr>
          <w:ilvl w:val="0"/>
          <w:numId w:val="5"/>
        </w:numPr>
        <w:tabs>
          <w:tab w:val="left" w:pos="851"/>
          <w:tab w:val="clear" w:pos="720"/>
        </w:tabs>
        <w:kinsoku/>
        <w:wordWrap/>
        <w:overflowPunct/>
        <w:topLinePunct w:val="0"/>
        <w:bidi w:val="0"/>
        <w:snapToGrid/>
        <w:spacing w:after="0" w:line="360" w:lineRule="auto"/>
        <w:ind w:left="851" w:hanging="284"/>
        <w:jc w:val="both"/>
        <w:textAlignment w:val="auto"/>
        <w:rPr>
          <w:rFonts w:hint="default" w:ascii="Times New Roman" w:hAnsi="Times New Roman" w:cs="Times New Roman"/>
          <w:sz w:val="24"/>
          <w:szCs w:val="24"/>
        </w:rPr>
      </w:pPr>
      <w:r>
        <w:rPr>
          <w:rFonts w:hint="default" w:ascii="Times New Roman" w:hAnsi="Times New Roman" w:cs="Times New Roman"/>
          <w:i/>
          <w:iCs/>
          <w:sz w:val="24"/>
          <w:szCs w:val="24"/>
        </w:rPr>
        <w:t>Likelihood</w:t>
      </w:r>
      <w:r>
        <w:rPr>
          <w:rFonts w:hint="default" w:ascii="Times New Roman" w:hAnsi="Times New Roman" w:cs="Times New Roman"/>
          <w:sz w:val="24"/>
          <w:szCs w:val="24"/>
        </w:rPr>
        <w:t xml:space="preserve"> (L): Kemungkinan terjadinya bahaya</w:t>
      </w:r>
    </w:p>
    <w:p w14:paraId="54A7512A">
      <w:pPr>
        <w:keepNext w:val="0"/>
        <w:keepLines w:val="0"/>
        <w:pageBreakBefore w:val="0"/>
        <w:numPr>
          <w:ilvl w:val="0"/>
          <w:numId w:val="5"/>
        </w:numPr>
        <w:tabs>
          <w:tab w:val="left" w:pos="851"/>
          <w:tab w:val="clear" w:pos="720"/>
        </w:tabs>
        <w:kinsoku/>
        <w:wordWrap/>
        <w:overflowPunct/>
        <w:topLinePunct w:val="0"/>
        <w:bidi w:val="0"/>
        <w:snapToGrid/>
        <w:spacing w:after="0" w:line="360" w:lineRule="auto"/>
        <w:ind w:left="851" w:hanging="284"/>
        <w:jc w:val="both"/>
        <w:textAlignment w:val="auto"/>
        <w:rPr>
          <w:rFonts w:hint="default" w:ascii="Times New Roman" w:hAnsi="Times New Roman" w:cs="Times New Roman"/>
          <w:sz w:val="24"/>
          <w:szCs w:val="24"/>
        </w:rPr>
      </w:pPr>
      <w:r>
        <w:rPr>
          <w:rFonts w:hint="default" w:ascii="Times New Roman" w:hAnsi="Times New Roman" w:cs="Times New Roman"/>
          <w:i/>
          <w:iCs/>
          <w:sz w:val="24"/>
          <w:szCs w:val="24"/>
        </w:rPr>
        <w:t>Severity</w:t>
      </w:r>
      <w:r>
        <w:rPr>
          <w:rFonts w:hint="default" w:ascii="Times New Roman" w:hAnsi="Times New Roman" w:cs="Times New Roman"/>
          <w:sz w:val="24"/>
          <w:szCs w:val="24"/>
        </w:rPr>
        <w:t xml:space="preserve"> (S): Tingkat keparahan dampak yang ditimbulkan</w:t>
      </w:r>
    </w:p>
    <w:p w14:paraId="31E194B8">
      <w:pPr>
        <w:keepNext w:val="0"/>
        <w:keepLines w:val="0"/>
        <w:pageBreakBefore w:val="0"/>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Nilai risiko dihitung menggunakan rumus:</w:t>
      </w:r>
    </w:p>
    <w:p w14:paraId="71A62F17">
      <w:pPr>
        <w:keepNext w:val="0"/>
        <w:keepLines w:val="0"/>
        <w:pageBreakBefore w:val="0"/>
        <w:kinsoku/>
        <w:wordWrap/>
        <w:overflowPunct/>
        <w:topLinePunct w:val="0"/>
        <w:bidi w:val="0"/>
        <w:snapToGrid/>
        <w:spacing w:after="0" w:line="360" w:lineRule="auto"/>
        <w:ind w:left="426"/>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472440</wp:posOffset>
                </wp:positionH>
                <wp:positionV relativeFrom="paragraph">
                  <wp:posOffset>19050</wp:posOffset>
                </wp:positionV>
                <wp:extent cx="1408430" cy="335915"/>
                <wp:effectExtent l="12700" t="12700" r="13970" b="19685"/>
                <wp:wrapNone/>
                <wp:docPr id="1750833276" name="Rectangle 1"/>
                <wp:cNvGraphicFramePr/>
                <a:graphic xmlns:a="http://schemas.openxmlformats.org/drawingml/2006/main">
                  <a:graphicData uri="http://schemas.microsoft.com/office/word/2010/wordprocessingShape">
                    <wps:wsp>
                      <wps:cNvSpPr/>
                      <wps:spPr>
                        <a:xfrm>
                          <a:off x="0" y="0"/>
                          <a:ext cx="1408430" cy="335915"/>
                        </a:xfrm>
                        <a:prstGeom prst="rect">
                          <a:avLst/>
                        </a:prstGeom>
                      </wps:spPr>
                      <wps:style>
                        <a:lnRef idx="2">
                          <a:schemeClr val="dk1"/>
                        </a:lnRef>
                        <a:fillRef idx="1">
                          <a:schemeClr val="lt1"/>
                        </a:fillRef>
                        <a:effectRef idx="0">
                          <a:schemeClr val="dk1"/>
                        </a:effectRef>
                        <a:fontRef idx="minor">
                          <a:schemeClr val="dk1"/>
                        </a:fontRef>
                      </wps:style>
                      <wps:txbx>
                        <w:txbxContent>
                          <w:p w14:paraId="7BFD4120">
                            <w:pPr>
                              <w:spacing w:line="360" w:lineRule="auto"/>
                              <w:jc w:val="center"/>
                              <w:rPr>
                                <w:rFonts w:ascii="Times New Roman" w:hAnsi="Times New Roman" w:cs="Times New Roman"/>
                                <w:sz w:val="24"/>
                                <w:szCs w:val="24"/>
                              </w:rPr>
                            </w:pPr>
                            <w:r>
                              <w:rPr>
                                <w:rFonts w:ascii="Times New Roman" w:hAnsi="Times New Roman" w:cs="Times New Roman"/>
                                <w:sz w:val="24"/>
                                <w:szCs w:val="24"/>
                              </w:rPr>
                              <w:t>Risk = L × S</w:t>
                            </w:r>
                          </w:p>
                          <w:p w14:paraId="24B2637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37.2pt;margin-top:1.5pt;height:26.45pt;width:110.9pt;z-index:251659264;v-text-anchor:middle;mso-width-relative:page;mso-height-relative:page;" fillcolor="#FFFFFF [3201]" filled="t" stroked="t" coordsize="21600,21600" o:gfxdata="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dYnhTXAAAABwEAAA8AAAAAAAAAAQAgAAAAIgAAAGRycy9kb3ducmV2LnhtbFBLAQIU&#10;ABQAAAAIAIdO4kDMsslNZgIAAPQEAAAOAAAAAAAAAAEAIAAAACYBAABkcnMvZTJvRG9jLnhtbFBL&#10;BQYAAAAABgAGAFkBAAD+BQAAAAA=&#10;">
                <v:fill on="t" focussize="0,0"/>
                <v:stroke weight="2pt" color="#000000 [3200]" joinstyle="round"/>
                <v:imagedata o:title=""/>
                <o:lock v:ext="edit" aspectratio="f"/>
                <v:textbox>
                  <w:txbxContent>
                    <w:p w14:paraId="7BFD4120">
                      <w:pPr>
                        <w:spacing w:line="360" w:lineRule="auto"/>
                        <w:jc w:val="center"/>
                        <w:rPr>
                          <w:rFonts w:ascii="Times New Roman" w:hAnsi="Times New Roman" w:cs="Times New Roman"/>
                          <w:sz w:val="24"/>
                          <w:szCs w:val="24"/>
                        </w:rPr>
                      </w:pPr>
                      <w:r>
                        <w:rPr>
                          <w:rFonts w:ascii="Times New Roman" w:hAnsi="Times New Roman" w:cs="Times New Roman"/>
                          <w:sz w:val="24"/>
                          <w:szCs w:val="24"/>
                        </w:rPr>
                        <w:t>Risk = L × S</w:t>
                      </w:r>
                    </w:p>
                    <w:p w14:paraId="24B26371">
                      <w:pPr>
                        <w:jc w:val="center"/>
                      </w:pPr>
                    </w:p>
                  </w:txbxContent>
                </v:textbox>
              </v:rect>
            </w:pict>
          </mc:Fallback>
        </mc:AlternateContent>
      </w:r>
    </w:p>
    <w:p w14:paraId="31881174">
      <w:pPr>
        <w:keepNext w:val="0"/>
        <w:keepLines w:val="0"/>
        <w:pageBreakBefore w:val="0"/>
        <w:kinsoku/>
        <w:wordWrap/>
        <w:overflowPunct/>
        <w:topLinePunct w:val="0"/>
        <w:bidi w:val="0"/>
        <w:snapToGrid/>
        <w:spacing w:after="0" w:line="360" w:lineRule="auto"/>
        <w:ind w:left="426"/>
        <w:jc w:val="both"/>
        <w:textAlignment w:val="auto"/>
        <w:rPr>
          <w:rFonts w:hint="default" w:ascii="Times New Roman" w:hAnsi="Times New Roman" w:cs="Times New Roman"/>
          <w:sz w:val="24"/>
          <w:szCs w:val="24"/>
        </w:rPr>
      </w:pPr>
    </w:p>
    <w:p w14:paraId="1A1431AE">
      <w:pPr>
        <w:keepNext w:val="0"/>
        <w:keepLines w:val="0"/>
        <w:pageBreakBefore w:val="0"/>
        <w:kinsoku/>
        <w:wordWrap/>
        <w:overflowPunct/>
        <w:topLinePunct w:val="0"/>
        <w:bidi w:val="0"/>
        <w:snapToGrid/>
        <w:spacing w:after="0" w:line="360" w:lineRule="auto"/>
        <w:ind w:left="426"/>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Kategori tingkat risiko dibagi menjadi:</w:t>
      </w:r>
    </w:p>
    <w:p w14:paraId="13C29530">
      <w:pPr>
        <w:keepNext w:val="0"/>
        <w:keepLines w:val="0"/>
        <w:pageBreakBefore w:val="0"/>
        <w:numPr>
          <w:ilvl w:val="0"/>
          <w:numId w:val="6"/>
        </w:numPr>
        <w:tabs>
          <w:tab w:val="left" w:pos="851"/>
          <w:tab w:val="clear" w:pos="720"/>
        </w:tabs>
        <w:kinsoku/>
        <w:wordWrap/>
        <w:overflowPunct/>
        <w:topLinePunct w:val="0"/>
        <w:bidi w:val="0"/>
        <w:snapToGrid/>
        <w:spacing w:after="0" w:line="360" w:lineRule="auto"/>
        <w:ind w:left="851" w:hanging="28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Rendah </w:t>
      </w:r>
      <w:r>
        <w:rPr>
          <w:rFonts w:hint="default" w:ascii="Times New Roman" w:hAnsi="Times New Roman" w:cs="Times New Roman"/>
          <w:i/>
          <w:iCs/>
          <w:sz w:val="24"/>
          <w:szCs w:val="24"/>
        </w:rPr>
        <w:t>(Low)</w:t>
      </w:r>
    </w:p>
    <w:p w14:paraId="2AE21606">
      <w:pPr>
        <w:keepNext w:val="0"/>
        <w:keepLines w:val="0"/>
        <w:pageBreakBefore w:val="0"/>
        <w:numPr>
          <w:ilvl w:val="0"/>
          <w:numId w:val="6"/>
        </w:numPr>
        <w:tabs>
          <w:tab w:val="left" w:pos="851"/>
          <w:tab w:val="clear" w:pos="720"/>
        </w:tabs>
        <w:kinsoku/>
        <w:wordWrap/>
        <w:overflowPunct/>
        <w:topLinePunct w:val="0"/>
        <w:bidi w:val="0"/>
        <w:snapToGrid/>
        <w:spacing w:after="0" w:line="360" w:lineRule="auto"/>
        <w:ind w:left="851" w:hanging="28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Sedang </w:t>
      </w:r>
      <w:r>
        <w:rPr>
          <w:rFonts w:hint="default" w:ascii="Times New Roman" w:hAnsi="Times New Roman" w:cs="Times New Roman"/>
          <w:i/>
          <w:iCs/>
          <w:sz w:val="24"/>
          <w:szCs w:val="24"/>
        </w:rPr>
        <w:t>(Moderate)</w:t>
      </w:r>
    </w:p>
    <w:p w14:paraId="3E73B7E0">
      <w:pPr>
        <w:keepNext w:val="0"/>
        <w:keepLines w:val="0"/>
        <w:pageBreakBefore w:val="0"/>
        <w:numPr>
          <w:ilvl w:val="0"/>
          <w:numId w:val="6"/>
        </w:numPr>
        <w:tabs>
          <w:tab w:val="left" w:pos="851"/>
          <w:tab w:val="clear" w:pos="720"/>
        </w:tabs>
        <w:kinsoku/>
        <w:wordWrap/>
        <w:overflowPunct/>
        <w:topLinePunct w:val="0"/>
        <w:bidi w:val="0"/>
        <w:snapToGrid/>
        <w:spacing w:after="0" w:line="360" w:lineRule="auto"/>
        <w:ind w:left="851" w:hanging="28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Tinggi </w:t>
      </w:r>
      <w:r>
        <w:rPr>
          <w:rFonts w:hint="default" w:ascii="Times New Roman" w:hAnsi="Times New Roman" w:cs="Times New Roman"/>
          <w:i/>
          <w:iCs/>
          <w:sz w:val="24"/>
          <w:szCs w:val="24"/>
        </w:rPr>
        <w:t>(High)</w:t>
      </w:r>
    </w:p>
    <w:p w14:paraId="7861E217">
      <w:pPr>
        <w:keepNext w:val="0"/>
        <w:keepLines w:val="0"/>
        <w:pageBreakBefore w:val="0"/>
        <w:numPr>
          <w:ilvl w:val="0"/>
          <w:numId w:val="6"/>
        </w:numPr>
        <w:tabs>
          <w:tab w:val="left" w:pos="851"/>
          <w:tab w:val="clear" w:pos="720"/>
        </w:tabs>
        <w:kinsoku/>
        <w:wordWrap/>
        <w:overflowPunct/>
        <w:topLinePunct w:val="0"/>
        <w:bidi w:val="0"/>
        <w:snapToGrid/>
        <w:spacing w:after="0" w:line="360" w:lineRule="auto"/>
        <w:ind w:left="851" w:hanging="284"/>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Ekstrem </w:t>
      </w:r>
      <w:r>
        <w:rPr>
          <w:rFonts w:hint="default" w:ascii="Times New Roman" w:hAnsi="Times New Roman" w:cs="Times New Roman"/>
          <w:i/>
          <w:iCs/>
          <w:sz w:val="24"/>
          <w:szCs w:val="24"/>
        </w:rPr>
        <w:t>(Extreme)</w:t>
      </w:r>
    </w:p>
    <w:p w14:paraId="73A048A3">
      <w:pPr>
        <w:keepNext w:val="0"/>
        <w:keepLines w:val="0"/>
        <w:pageBreakBefore w:val="0"/>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b w:val="0"/>
          <w:bCs w:val="0"/>
          <w:sz w:val="24"/>
          <w:szCs w:val="24"/>
        </w:rPr>
      </w:pPr>
      <w:r>
        <w:rPr>
          <w:rFonts w:hint="default" w:ascii="Times New Roman" w:hAnsi="Times New Roman" w:cs="Times New Roman"/>
          <w:sz w:val="24"/>
          <w:szCs w:val="24"/>
        </w:rPr>
        <w:t>Setiap kategori akan menjadi acuan dalam menentukan prioritas pengendalian risiko yang harus dilakukan perusahaan.</w:t>
      </w:r>
    </w:p>
    <w:p w14:paraId="5193418F">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cs="Times New Roman"/>
          <w:b w:val="0"/>
          <w:bCs w:val="0"/>
          <w:sz w:val="24"/>
          <w:szCs w:val="24"/>
        </w:rPr>
      </w:pPr>
    </w:p>
    <w:p w14:paraId="59953B43">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r>
        <w:rPr>
          <w:rStyle w:val="11"/>
          <w:rFonts w:hint="default" w:ascii="Times New Roman" w:hAnsi="Times New Roman" w:cs="Times New Roman"/>
          <w:b/>
          <w:bCs/>
          <w:sz w:val="24"/>
          <w:szCs w:val="24"/>
        </w:rPr>
        <w:t>HASIL DAN PEMBAHASAN</w:t>
      </w:r>
    </w:p>
    <w:p w14:paraId="72D457C1">
      <w:pPr>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Potensi Bahaya Keselamatan Kerja Di CV Multi Daya</w:t>
      </w:r>
    </w:p>
    <w:p w14:paraId="0D4DCAC3">
      <w:pPr>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Berdasarkan hasil observasi lapangan dan wawancara dengan lima responden, terdapat lima aktivitas kerja utama dalam proses pembuatan hotmix yang memiliki potensi bahaya, yaitu:</w:t>
      </w:r>
    </w:p>
    <w:p w14:paraId="7C685B93">
      <w:pPr>
        <w:keepNext w:val="0"/>
        <w:keepLines w:val="0"/>
        <w:pageBreakBefore w:val="0"/>
        <w:numPr>
          <w:ilvl w:val="0"/>
          <w:numId w:val="7"/>
        </w:numPr>
        <w:tabs>
          <w:tab w:val="left" w:pos="1134"/>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Pemanasan aspal – potensi bahaya berupa terpapar asap panas yang dapat menyebabkan iritasi saluran pernapasan.</w:t>
      </w:r>
    </w:p>
    <w:p w14:paraId="4A8E1435">
      <w:pPr>
        <w:keepNext w:val="0"/>
        <w:keepLines w:val="0"/>
        <w:pageBreakBefore w:val="0"/>
        <w:numPr>
          <w:ilvl w:val="0"/>
          <w:numId w:val="7"/>
        </w:numPr>
        <w:tabs>
          <w:tab w:val="left" w:pos="1134"/>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Pengangkutan material – potensi bahaya berupa risiko terpeleset dari truk yang dapat mengakibatkan cedera sedang seperti memar atau luka.</w:t>
      </w:r>
    </w:p>
    <w:p w14:paraId="47AA0E32">
      <w:pPr>
        <w:keepNext w:val="0"/>
        <w:keepLines w:val="0"/>
        <w:pageBreakBefore w:val="0"/>
        <w:numPr>
          <w:ilvl w:val="0"/>
          <w:numId w:val="7"/>
        </w:numPr>
        <w:tabs>
          <w:tab w:val="left" w:pos="1134"/>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Pengoperasian mesin mixer – potensi bahaya berupa terjepit bagian mesin yang dapat mengakibatkan cedera berat seperti patah tulang.</w:t>
      </w:r>
    </w:p>
    <w:p w14:paraId="61EF5EF1">
      <w:pPr>
        <w:keepNext w:val="0"/>
        <w:keepLines w:val="0"/>
        <w:pageBreakBefore w:val="0"/>
        <w:numPr>
          <w:ilvl w:val="0"/>
          <w:numId w:val="7"/>
        </w:numPr>
        <w:tabs>
          <w:tab w:val="left" w:pos="1134"/>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Pencampuran bahan – potensi bahaya berupa terkena bahan kimia panas yang dapat menyebabkan luka bakar ringan.</w:t>
      </w:r>
    </w:p>
    <w:p w14:paraId="371A2808">
      <w:pPr>
        <w:keepNext w:val="0"/>
        <w:keepLines w:val="0"/>
        <w:pageBreakBefore w:val="0"/>
        <w:numPr>
          <w:ilvl w:val="0"/>
          <w:numId w:val="7"/>
        </w:numPr>
        <w:tabs>
          <w:tab w:val="left" w:pos="1134"/>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Pengecekan suhu campuran – potensi bahaya berupa terbakar alat ukur panas yang dapat mengakibatkan luka bakar sedang.</w:t>
      </w:r>
    </w:p>
    <w:p w14:paraId="2D117AA0">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Potensi bahaya tersebut diidentifikasi menggunakan metode Hazard Identification and Risk Assessment (HIRA) dengan mempertimbangkan dua parameter, yaitu kemungkinan (</w:t>
      </w:r>
      <w:r>
        <w:rPr>
          <w:rFonts w:hint="default" w:ascii="Times New Roman" w:hAnsi="Times New Roman" w:cs="Times New Roman"/>
          <w:b w:val="0"/>
          <w:bCs w:val="0"/>
          <w:i/>
          <w:iCs/>
          <w:sz w:val="24"/>
          <w:szCs w:val="24"/>
        </w:rPr>
        <w:t>Likelihood</w:t>
      </w:r>
      <w:r>
        <w:rPr>
          <w:rFonts w:hint="default" w:ascii="Times New Roman" w:hAnsi="Times New Roman" w:cs="Times New Roman"/>
          <w:b w:val="0"/>
          <w:bCs w:val="0"/>
          <w:sz w:val="24"/>
          <w:szCs w:val="24"/>
        </w:rPr>
        <w:t>) dan tingkat keparahan (</w:t>
      </w:r>
      <w:r>
        <w:rPr>
          <w:rFonts w:hint="default" w:ascii="Times New Roman" w:hAnsi="Times New Roman" w:cs="Times New Roman"/>
          <w:b w:val="0"/>
          <w:bCs w:val="0"/>
          <w:i/>
          <w:iCs/>
          <w:sz w:val="24"/>
          <w:szCs w:val="24"/>
        </w:rPr>
        <w:t>Severity</w:t>
      </w:r>
      <w:r>
        <w:rPr>
          <w:rFonts w:hint="default" w:ascii="Times New Roman" w:hAnsi="Times New Roman" w:cs="Times New Roman"/>
          <w:b w:val="0"/>
          <w:bCs w:val="0"/>
          <w:sz w:val="24"/>
          <w:szCs w:val="24"/>
        </w:rPr>
        <w:t>).</w:t>
      </w:r>
    </w:p>
    <w:p w14:paraId="7F2FB0A3">
      <w:pPr>
        <w:pStyle w:val="3"/>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60" w:lineRule="auto"/>
        <w:ind w:leftChars="0"/>
        <w:jc w:val="both"/>
        <w:textAlignment w:val="auto"/>
        <w:rPr>
          <w:rFonts w:hint="default" w:ascii="Times New Roman" w:hAnsi="Times New Roman" w:cs="Times New Roman"/>
          <w:sz w:val="24"/>
          <w:szCs w:val="24"/>
        </w:rPr>
      </w:pPr>
    </w:p>
    <w:p w14:paraId="6074CE42">
      <w:pPr>
        <w:keepNext w:val="0"/>
        <w:keepLines w:val="0"/>
        <w:pageBreakBefore w:val="0"/>
        <w:kinsoku/>
        <w:wordWrap/>
        <w:overflowPunct/>
        <w:topLinePunct w:val="0"/>
        <w:bidi w:val="0"/>
        <w:snapToGrid/>
        <w:spacing w:after="0" w:line="360" w:lineRule="auto"/>
        <w:textAlignment w:val="auto"/>
        <w:rPr>
          <w:rFonts w:hint="default" w:ascii="Times New Roman" w:hAnsi="Times New Roman" w:cs="Times New Roman"/>
          <w:sz w:val="24"/>
          <w:szCs w:val="24"/>
        </w:rPr>
      </w:pPr>
      <w:r>
        <w:rPr>
          <w:rFonts w:hint="default" w:ascii="Times New Roman" w:hAnsi="Times New Roman" w:cs="Times New Roman"/>
          <w:b/>
          <w:bCs/>
          <w:sz w:val="24"/>
          <w:szCs w:val="24"/>
        </w:rPr>
        <w:t>Tingkat Risiko Menggunakan Metode HIRA</w:t>
      </w:r>
    </w:p>
    <w:p w14:paraId="108B24F2">
      <w:pPr>
        <w:keepNext w:val="0"/>
        <w:keepLines w:val="0"/>
        <w:pageBreakBefore w:val="0"/>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Berdasarkan hasil rekapitulasi rata-rata penilaian risiko dari lima responden menunjukkan bahwa dari lima aktivitas kerja yang diamati, tiga aktivitas masuk kategori risiko sedang dan dua aktivitas masuk kategori risiko rendah.</w:t>
      </w:r>
    </w:p>
    <w:p w14:paraId="32C814FF">
      <w:pPr>
        <w:keepNext w:val="0"/>
        <w:keepLines w:val="0"/>
        <w:pageBreakBefore w:val="0"/>
        <w:tabs>
          <w:tab w:val="left" w:pos="426"/>
        </w:tabs>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Aktivitas dengan kategori risiko sedang meliputi:</w:t>
      </w:r>
    </w:p>
    <w:p w14:paraId="40DA378E">
      <w:pPr>
        <w:keepNext w:val="0"/>
        <w:keepLines w:val="0"/>
        <w:pageBreakBefore w:val="0"/>
        <w:numPr>
          <w:ilvl w:val="0"/>
          <w:numId w:val="8"/>
        </w:numPr>
        <w:tabs>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Pemanasan aspal dengan potensi bahaya terpapar asap panas, memiliki rata-rata nilai kemungkinan (</w:t>
      </w:r>
      <w:r>
        <w:rPr>
          <w:rFonts w:hint="default" w:ascii="Times New Roman" w:hAnsi="Times New Roman" w:cs="Times New Roman"/>
          <w:i/>
          <w:iCs/>
          <w:sz w:val="24"/>
          <w:szCs w:val="24"/>
        </w:rPr>
        <w:t>Likelihood</w:t>
      </w:r>
      <w:r>
        <w:rPr>
          <w:rFonts w:hint="default" w:ascii="Times New Roman" w:hAnsi="Times New Roman" w:cs="Times New Roman"/>
          <w:sz w:val="24"/>
          <w:szCs w:val="24"/>
        </w:rPr>
        <w:t>) 2 dan rata-rata tingkat keparahan (</w:t>
      </w:r>
      <w:r>
        <w:rPr>
          <w:rFonts w:hint="default" w:ascii="Times New Roman" w:hAnsi="Times New Roman" w:cs="Times New Roman"/>
          <w:i/>
          <w:iCs/>
          <w:sz w:val="24"/>
          <w:szCs w:val="24"/>
        </w:rPr>
        <w:t>Severity</w:t>
      </w:r>
      <w:r>
        <w:rPr>
          <w:rFonts w:hint="default" w:ascii="Times New Roman" w:hAnsi="Times New Roman" w:cs="Times New Roman"/>
          <w:sz w:val="24"/>
          <w:szCs w:val="24"/>
        </w:rPr>
        <w:t>) 3 sehingga diperoleh nilai risiko 6.</w:t>
      </w:r>
    </w:p>
    <w:p w14:paraId="0E920FEA">
      <w:pPr>
        <w:keepNext w:val="0"/>
        <w:keepLines w:val="0"/>
        <w:pageBreakBefore w:val="0"/>
        <w:numPr>
          <w:ilvl w:val="0"/>
          <w:numId w:val="8"/>
        </w:numPr>
        <w:tabs>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Pengoperasian mesin mixer dengan potensi bahaya terjepit mesin, memiliki rata-rata </w:t>
      </w:r>
      <w:r>
        <w:rPr>
          <w:rFonts w:hint="default" w:ascii="Times New Roman" w:hAnsi="Times New Roman" w:cs="Times New Roman"/>
          <w:i/>
          <w:iCs/>
          <w:sz w:val="24"/>
          <w:szCs w:val="24"/>
        </w:rPr>
        <w:t>Likelihood</w:t>
      </w:r>
      <w:r>
        <w:rPr>
          <w:rFonts w:hint="default" w:ascii="Times New Roman" w:hAnsi="Times New Roman" w:cs="Times New Roman"/>
          <w:sz w:val="24"/>
          <w:szCs w:val="24"/>
        </w:rPr>
        <w:t xml:space="preserve"> 2 dan </w:t>
      </w:r>
      <w:r>
        <w:rPr>
          <w:rFonts w:hint="default" w:ascii="Times New Roman" w:hAnsi="Times New Roman" w:cs="Times New Roman"/>
          <w:i/>
          <w:iCs/>
          <w:sz w:val="24"/>
          <w:szCs w:val="24"/>
        </w:rPr>
        <w:t>Severity</w:t>
      </w:r>
      <w:r>
        <w:rPr>
          <w:rFonts w:hint="default" w:ascii="Times New Roman" w:hAnsi="Times New Roman" w:cs="Times New Roman"/>
          <w:sz w:val="24"/>
          <w:szCs w:val="24"/>
        </w:rPr>
        <w:t xml:space="preserve"> 4 dengan nilai risiko 8.</w:t>
      </w:r>
    </w:p>
    <w:p w14:paraId="147948DF">
      <w:pPr>
        <w:keepNext w:val="0"/>
        <w:keepLines w:val="0"/>
        <w:pageBreakBefore w:val="0"/>
        <w:numPr>
          <w:ilvl w:val="0"/>
          <w:numId w:val="8"/>
        </w:numPr>
        <w:tabs>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Pencampuran bahan dengan potensi bahaya terkena bahan kimia panas, memiliki rata-rata </w:t>
      </w:r>
      <w:r>
        <w:rPr>
          <w:rFonts w:hint="default" w:ascii="Times New Roman" w:hAnsi="Times New Roman" w:cs="Times New Roman"/>
          <w:i/>
          <w:iCs/>
          <w:sz w:val="24"/>
          <w:szCs w:val="24"/>
        </w:rPr>
        <w:t>Likelihood</w:t>
      </w:r>
      <w:r>
        <w:rPr>
          <w:rFonts w:hint="default" w:ascii="Times New Roman" w:hAnsi="Times New Roman" w:cs="Times New Roman"/>
          <w:sz w:val="24"/>
          <w:szCs w:val="24"/>
        </w:rPr>
        <w:t xml:space="preserve"> 2 dan </w:t>
      </w:r>
      <w:r>
        <w:rPr>
          <w:rFonts w:hint="default" w:ascii="Times New Roman" w:hAnsi="Times New Roman" w:cs="Times New Roman"/>
          <w:i/>
          <w:iCs/>
          <w:sz w:val="24"/>
          <w:szCs w:val="24"/>
        </w:rPr>
        <w:t>Severity</w:t>
      </w:r>
      <w:r>
        <w:rPr>
          <w:rFonts w:hint="default" w:ascii="Times New Roman" w:hAnsi="Times New Roman" w:cs="Times New Roman"/>
          <w:sz w:val="24"/>
          <w:szCs w:val="24"/>
        </w:rPr>
        <w:t xml:space="preserve"> 3 sehingga nilai risiko 6.</w:t>
      </w:r>
    </w:p>
    <w:p w14:paraId="0BED43B8">
      <w:pPr>
        <w:keepNext w:val="0"/>
        <w:keepLines w:val="0"/>
        <w:pageBreakBefore w:val="0"/>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Sementara itu, kategori risiko rendah ditemukan pada:</w:t>
      </w:r>
    </w:p>
    <w:p w14:paraId="284B9FDE">
      <w:pPr>
        <w:keepNext w:val="0"/>
        <w:keepLines w:val="0"/>
        <w:pageBreakBefore w:val="0"/>
        <w:numPr>
          <w:ilvl w:val="0"/>
          <w:numId w:val="9"/>
        </w:numPr>
        <w:tabs>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Pengangkutan material dengan potensi bahaya terpeleset dari truk (nilai risiko 4).</w:t>
      </w:r>
    </w:p>
    <w:p w14:paraId="7840E010">
      <w:pPr>
        <w:keepNext w:val="0"/>
        <w:keepLines w:val="0"/>
        <w:pageBreakBefore w:val="0"/>
        <w:numPr>
          <w:ilvl w:val="0"/>
          <w:numId w:val="9"/>
        </w:numPr>
        <w:tabs>
          <w:tab w:val="clear" w:pos="720"/>
        </w:tabs>
        <w:kinsoku/>
        <w:wordWrap/>
        <w:overflowPunct/>
        <w:topLinePunct w:val="0"/>
        <w:bidi w:val="0"/>
        <w:snapToGrid/>
        <w:spacing w:after="0" w:line="360" w:lineRule="auto"/>
        <w:ind w:left="400" w:leftChars="0" w:hanging="36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Pengecekan suhu campuran dengan potensi bahaya terbakar alat ukur panas (nilai risiko 4).</w:t>
      </w:r>
    </w:p>
    <w:p w14:paraId="01317B05">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Secara keseluruhan, tidak ditemukan risiko tinggi maupun ekstrem pada proses pembuatan hotmix di CV Multi Daya Panaekan–Manonjaya.</w:t>
      </w:r>
    </w:p>
    <w:p w14:paraId="21087770">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p>
    <w:p w14:paraId="3AA0C69A">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Tindakan Pengendalian Risiko Yang Tepat</w:t>
      </w:r>
    </w:p>
    <w:p w14:paraId="3D4AE74C">
      <w:pPr>
        <w:keepNext w:val="0"/>
        <w:keepLines w:val="0"/>
        <w:pageBreakBefore w:val="0"/>
        <w:tabs>
          <w:tab w:val="left" w:pos="993"/>
        </w:tabs>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Berdasarkan hasil identifikasi potensi bahaya dan penilaian tingkat risiko, diperoleh rekomendasi pengendalian yang disesuaikan dengan jenis aktivitas kerja dan tingkat risikonya. </w:t>
      </w:r>
    </w:p>
    <w:p w14:paraId="43D242EC">
      <w:pPr>
        <w:keepNext w:val="0"/>
        <w:keepLines w:val="0"/>
        <w:pageBreakBefore w:val="0"/>
        <w:tabs>
          <w:tab w:val="left" w:pos="993"/>
        </w:tabs>
        <w:kinsoku/>
        <w:wordWrap/>
        <w:overflowPunct/>
        <w:topLinePunct w:val="0"/>
        <w:bidi w:val="0"/>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Pada aktivitas pemanasan aspal, potensi bahaya berupa paparan asap panas dikategorikan sebagai risiko sedang dengan dampak berupa iritasi saluran pernapasan. </w:t>
      </w:r>
    </w:p>
    <w:p w14:paraId="66C7DA5D">
      <w:pPr>
        <w:keepNext w:val="0"/>
        <w:keepLines w:val="0"/>
        <w:pageBreakBefore w:val="0"/>
        <w:tabs>
          <w:tab w:val="left" w:pos="993"/>
        </w:tabs>
        <w:kinsoku/>
        <w:wordWrap/>
        <w:overflowPunct/>
        <w:topLinePunct w:val="0"/>
        <w:bidi w:val="0"/>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Pengendalian yang direkomendasikan adalah penggunaan masker respirator serta penambahan ventilasi pada area kerja untuk mengurangi paparan asap.</w:t>
      </w:r>
    </w:p>
    <w:p w14:paraId="5357D818">
      <w:pPr>
        <w:keepNext w:val="0"/>
        <w:keepLines w:val="0"/>
        <w:pageBreakBefore w:val="0"/>
        <w:tabs>
          <w:tab w:val="left" w:pos="993"/>
        </w:tabs>
        <w:kinsoku/>
        <w:wordWrap/>
        <w:overflowPunct/>
        <w:topLinePunct w:val="0"/>
        <w:bidi w:val="0"/>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Aktivitas pengangkutan material memiliki potensi bahaya terpeleset dari truk yang dapat menyebabkan cedera sedang seperti memar atau luka, dengan kategori risiko rendah. Pengendalian yang dianjurkan adalah penggunaan sepatu safety serta penerapan SOP yang aman saat naik dan turun dari truk.</w:t>
      </w:r>
    </w:p>
    <w:p w14:paraId="47799020">
      <w:pPr>
        <w:keepNext w:val="0"/>
        <w:keepLines w:val="0"/>
        <w:pageBreakBefore w:val="0"/>
        <w:tabs>
          <w:tab w:val="left" w:pos="993"/>
        </w:tabs>
        <w:kinsoku/>
        <w:wordWrap/>
        <w:overflowPunct/>
        <w:topLinePunct w:val="0"/>
        <w:bidi w:val="0"/>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Pada pengoperasian mesin mixer, potensi bahaya terjepit mesin dikategorikan sebagai risiko sedang dengan dampak cedera berat seperti patah tulang. Rekomendasi pengendalian meliputi pemasangan pelindung mesin dan pelaksanaan pelatihan K3 bagi pekerja.</w:t>
      </w:r>
    </w:p>
    <w:p w14:paraId="4FB659D9">
      <w:pPr>
        <w:keepNext w:val="0"/>
        <w:keepLines w:val="0"/>
        <w:pageBreakBefore w:val="0"/>
        <w:tabs>
          <w:tab w:val="left" w:pos="993"/>
        </w:tabs>
        <w:kinsoku/>
        <w:wordWrap/>
        <w:overflowPunct/>
        <w:topLinePunct w:val="0"/>
        <w:bidi w:val="0"/>
        <w:snapToGrid/>
        <w:spacing w:after="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Aktivitas pencampuran bahan memiliki potensi bahaya terkena bahan kimia panas dengan kategori risiko sedang dan dampak luka bakar ringan. Pengendalian yang direkomendasikan adalah penggunaan sarung tangan tahan panas.</w:t>
      </w:r>
    </w:p>
    <w:p w14:paraId="31EC71D4">
      <w:pPr>
        <w:keepNext w:val="0"/>
        <w:keepLines w:val="0"/>
        <w:pageBreakBefore w:val="0"/>
        <w:tabs>
          <w:tab w:val="left" w:pos="993"/>
        </w:tabs>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Terakhir, pengecekan suhu campuran memiliki potensi bahaya terbakar alat ukur panas dengan kategori risiko rendah dan dampak luka bakar sedang. Pengendalian yang disarankan adalah penggunaan alat ukur dengan pelindung serta sarung tangan yang sesuai.</w:t>
      </w:r>
    </w:p>
    <w:p w14:paraId="1989C075">
      <w:pPr>
        <w:keepNext w:val="0"/>
        <w:keepLines w:val="0"/>
        <w:pageBreakBefore w:val="0"/>
        <w:tabs>
          <w:tab w:val="left" w:pos="993"/>
        </w:tabs>
        <w:kinsoku/>
        <w:wordWrap/>
        <w:overflowPunct/>
        <w:topLinePunct w:val="0"/>
        <w:bidi w:val="0"/>
        <w:snapToGrid/>
        <w:spacing w:after="0" w:line="360" w:lineRule="auto"/>
        <w:ind w:left="0" w:leftChars="0" w:firstLine="0" w:firstLineChars="0"/>
        <w:jc w:val="both"/>
        <w:textAlignment w:val="auto"/>
        <w:rPr>
          <w:rFonts w:hint="default" w:ascii="Times New Roman" w:hAnsi="Times New Roman" w:cs="Times New Roman"/>
          <w:sz w:val="24"/>
          <w:szCs w:val="24"/>
        </w:rPr>
        <w:sectPr>
          <w:type w:val="continuous"/>
          <w:pgSz w:w="11906" w:h="16838"/>
          <w:pgMar w:top="1701" w:right="2275" w:bottom="1701" w:left="2275" w:header="720" w:footer="720" w:gutter="0"/>
          <w:cols w:equalWidth="0" w:num="2">
            <w:col w:w="3465" w:space="425"/>
            <w:col w:w="3465"/>
          </w:cols>
          <w:rtlGutter w:val="0"/>
          <w:docGrid w:linePitch="360" w:charSpace="0"/>
        </w:sectPr>
      </w:pPr>
      <w:r>
        <w:rPr>
          <w:rFonts w:hint="default" w:ascii="Times New Roman" w:hAnsi="Times New Roman" w:cs="Times New Roman"/>
          <w:sz w:val="24"/>
          <w:szCs w:val="24"/>
        </w:rPr>
        <w:t>Secara keseluruhan, pengendalian risiko difokuskan pada kombinasi antara rekayasa teknik, pengendalian administratif, dan penggunaan alat pelindung diri (APD) untuk meminimalkan potensi kecelakaan kerja.</w:t>
      </w:r>
    </w:p>
    <w:p w14:paraId="3A1565D6">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p>
    <w:p w14:paraId="2CF0A229">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Style w:val="11"/>
          <w:rFonts w:hint="default" w:ascii="Times New Roman" w:hAnsi="Times New Roman" w:cs="Times New Roman"/>
          <w:b/>
          <w:bCs/>
          <w:sz w:val="24"/>
          <w:szCs w:val="24"/>
        </w:rPr>
        <w:sectPr>
          <w:type w:val="continuous"/>
          <w:pgSz w:w="11906" w:h="16838"/>
          <w:pgMar w:top="1701" w:right="2275" w:bottom="1701" w:left="2275" w:header="720" w:footer="720" w:gutter="0"/>
          <w:cols w:space="0" w:num="1"/>
          <w:rtlGutter w:val="0"/>
          <w:docGrid w:linePitch="360" w:charSpace="0"/>
        </w:sectPr>
      </w:pPr>
    </w:p>
    <w:p w14:paraId="1BBD7E9C">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jc w:val="both"/>
        <w:textAlignment w:val="auto"/>
        <w:rPr>
          <w:rFonts w:hint="default" w:ascii="Times New Roman" w:hAnsi="Times New Roman" w:cs="Times New Roman"/>
          <w:sz w:val="24"/>
          <w:szCs w:val="24"/>
        </w:rPr>
      </w:pPr>
      <w:r>
        <w:rPr>
          <w:rStyle w:val="11"/>
          <w:rFonts w:hint="default" w:ascii="Times New Roman" w:hAnsi="Times New Roman" w:cs="Times New Roman"/>
          <w:b/>
          <w:bCs/>
          <w:sz w:val="24"/>
          <w:szCs w:val="24"/>
        </w:rPr>
        <w:t>KESIMPULAN</w:t>
      </w:r>
    </w:p>
    <w:p w14:paraId="78824D5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Autospacing="0" w:after="0" w:afterAutospacing="0" w:line="360" w:lineRule="auto"/>
        <w:ind w:left="720" w:hanging="36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Terdapat 5 potensi bahaya utama pada proses pembuatan hotmix di CV Multi Daya. </w:t>
      </w:r>
    </w:p>
    <w:p w14:paraId="57E8C623">
      <w:pPr>
        <w:keepNext w:val="0"/>
        <w:keepLines w:val="0"/>
        <w:pageBreakBefore w:val="0"/>
        <w:widowControl/>
        <w:numPr>
          <w:ilvl w:val="0"/>
          <w:numId w:val="10"/>
        </w:numPr>
        <w:suppressLineNumbers w:val="0"/>
        <w:kinsoku/>
        <w:wordWrap/>
        <w:overflowPunct/>
        <w:topLinePunct w:val="0"/>
        <w:autoSpaceDE/>
        <w:autoSpaceDN/>
        <w:bidi w:val="0"/>
        <w:adjustRightInd/>
        <w:snapToGrid/>
        <w:spacing w:beforeAutospacing="0" w:after="0" w:afterAutospacing="0" w:line="360" w:lineRule="auto"/>
        <w:ind w:left="720" w:hanging="36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Tingkat risiko didominasi kategori </w:t>
      </w:r>
      <w:r>
        <w:rPr>
          <w:rStyle w:val="11"/>
          <w:rFonts w:hint="default" w:ascii="Times New Roman" w:hAnsi="Times New Roman" w:cs="Times New Roman"/>
          <w:b w:val="0"/>
          <w:bCs w:val="0"/>
          <w:sz w:val="24"/>
          <w:szCs w:val="24"/>
        </w:rPr>
        <w:t>sedang dan rendah</w:t>
      </w:r>
      <w:r>
        <w:rPr>
          <w:rFonts w:hint="default" w:ascii="Times New Roman" w:hAnsi="Times New Roman" w:cs="Times New Roman"/>
          <w:sz w:val="24"/>
          <w:szCs w:val="24"/>
        </w:rPr>
        <w:t xml:space="preserve">, tanpa risiko tinggi maupun ekstrem. </w:t>
      </w:r>
    </w:p>
    <w:p w14:paraId="2BA21959">
      <w:pPr>
        <w:keepNext w:val="0"/>
        <w:keepLines w:val="0"/>
        <w:pageBreakBefore w:val="0"/>
        <w:widowControl/>
        <w:numPr>
          <w:ilvl w:val="0"/>
          <w:numId w:val="10"/>
        </w:numPr>
        <w:suppressLineNumbers w:val="0"/>
        <w:kinsoku/>
        <w:wordWrap/>
        <w:overflowPunct/>
        <w:topLinePunct w:val="0"/>
        <w:autoSpaceDE/>
        <w:autoSpaceDN/>
        <w:bidi w:val="0"/>
        <w:adjustRightInd/>
        <w:snapToGrid/>
        <w:spacing w:beforeAutospacing="0" w:after="0" w:afterAutospacing="0" w:line="360" w:lineRule="auto"/>
        <w:ind w:left="720" w:hanging="36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Pengendalian risiko dilakukan melalui kombinasi teknik, administratif, dan APD, yang terbukti cukup efektif dalam menekan potensi kecelakaan kerja. </w:t>
      </w:r>
    </w:p>
    <w:p w14:paraId="5B9EFA00">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lang w:val="en-US"/>
        </w:rPr>
      </w:pPr>
    </w:p>
    <w:p w14:paraId="458D3C0C">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lang w:val="en-US"/>
        </w:rPr>
      </w:pPr>
    </w:p>
    <w:p w14:paraId="0F39E440">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sz w:val="24"/>
          <w:szCs w:val="24"/>
          <w:lang w:val="en-US"/>
        </w:rPr>
      </w:pPr>
      <w:bookmarkStart w:id="0" w:name="_GoBack"/>
      <w:bookmarkEnd w:id="0"/>
    </w:p>
    <w:p w14:paraId="6A8C56A1">
      <w:pPr>
        <w:keepNext w:val="0"/>
        <w:keepLines w:val="0"/>
        <w:pageBreakBefore w:val="0"/>
        <w:widowControl/>
        <w:kinsoku/>
        <w:wordWrap/>
        <w:overflowPunct/>
        <w:topLinePunct w:val="0"/>
        <w:autoSpaceDE/>
        <w:autoSpaceDN/>
        <w:bidi w:val="0"/>
        <w:adjustRightInd/>
        <w:snapToGrid/>
        <w:spacing w:beforeAutospacing="0" w:after="0" w:afterAutospacing="0" w:line="360" w:lineRule="auto"/>
        <w:jc w:val="both"/>
        <w:textAlignment w:val="auto"/>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DAFTAR PUSTAKA</w:t>
      </w:r>
    </w:p>
    <w:p w14:paraId="790D78DF">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Alfidyani, K. S., Lestantyo, D., &amp; Wahyuni, I. (2020). </w:t>
      </w:r>
      <w:r>
        <w:rPr>
          <w:rFonts w:hint="default" w:ascii="Times New Roman" w:hAnsi="Times New Roman" w:cs="Times New Roman"/>
          <w:i/>
          <w:iCs/>
          <w:kern w:val="0"/>
          <w:sz w:val="24"/>
          <w:szCs w:val="24"/>
        </w:rPr>
        <w:t>Hubungan Pelatihan K3 , Penggunaan Apd , Pemasangan Safety Sign , Dan Penerapan Sop Dengan Terjadinya Risiko Kecelakaan Kerja ( Studi Pada Industri Garmen Kota Semarang )</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8</w:t>
      </w:r>
      <w:r>
        <w:rPr>
          <w:rFonts w:hint="default" w:ascii="Times New Roman" w:hAnsi="Times New Roman" w:cs="Times New Roman"/>
          <w:kern w:val="0"/>
          <w:sz w:val="24"/>
          <w:szCs w:val="24"/>
        </w:rPr>
        <w:t>.</w:t>
      </w:r>
    </w:p>
    <w:p w14:paraId="14E2ED6A">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Azmarina, T., Andriyani, A., &amp; Lusida, N. (2025). Pengaruh Pelatihan Keselamatan Dan Kesehatan Kerja Terhadap Perilaku Penggunaan Apd Pada Tenaga Kerja Di Industri Konstruksi. </w:t>
      </w:r>
      <w:r>
        <w:rPr>
          <w:rFonts w:hint="default" w:ascii="Times New Roman" w:hAnsi="Times New Roman" w:cs="Times New Roman"/>
          <w:i/>
          <w:iCs/>
          <w:kern w:val="0"/>
          <w:sz w:val="24"/>
          <w:szCs w:val="24"/>
        </w:rPr>
        <w:t>Inovasi Kesehatan Global</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2</w:t>
      </w:r>
      <w:r>
        <w:rPr>
          <w:rFonts w:hint="default" w:ascii="Times New Roman" w:hAnsi="Times New Roman" w:cs="Times New Roman"/>
          <w:kern w:val="0"/>
          <w:sz w:val="24"/>
          <w:szCs w:val="24"/>
        </w:rPr>
        <w:t>, 103–114. Https://Doi.Org/10.62383/Ikg.V2i2.1581</w:t>
      </w:r>
    </w:p>
    <w:p w14:paraId="60BAAC49">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Chiara, A., Nusantara, P., Srisantyorini, T., Masyarakat, F. K., Masyarakat, P. K., &amp; Muhamadiyah, U. (2025). </w:t>
      </w:r>
      <w:r>
        <w:rPr>
          <w:rFonts w:hint="default" w:ascii="Times New Roman" w:hAnsi="Times New Roman" w:cs="Times New Roman"/>
          <w:i/>
          <w:iCs/>
          <w:kern w:val="0"/>
          <w:sz w:val="24"/>
          <w:szCs w:val="24"/>
        </w:rPr>
        <w:t>Kepatuhan Penggunaan Alat Pelindung Diri ( Apd ) Pada Pekerja Kontruksi : Kajian Literatur Tentang Pengaruh Faktor Individu Dan Pendekatan Keselamatan Kerja</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3</w:t>
      </w:r>
      <w:r>
        <w:rPr>
          <w:rFonts w:hint="default" w:ascii="Times New Roman" w:hAnsi="Times New Roman" w:cs="Times New Roman"/>
          <w:kern w:val="0"/>
          <w:sz w:val="24"/>
          <w:szCs w:val="24"/>
        </w:rPr>
        <w:t>(April).</w:t>
      </w:r>
    </w:p>
    <w:p w14:paraId="74704FDF">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Fadhli, H. A., &amp; Sari, R. N. (2025). </w:t>
      </w:r>
      <w:r>
        <w:rPr>
          <w:rFonts w:hint="default" w:ascii="Times New Roman" w:hAnsi="Times New Roman" w:cs="Times New Roman"/>
          <w:i/>
          <w:iCs/>
          <w:kern w:val="0"/>
          <w:sz w:val="24"/>
          <w:szCs w:val="24"/>
        </w:rPr>
        <w:t>Analisis Pengaruh Pengawasan Keselamatan Dan Penggunaan Apd Terhadap Statistik Kecelakaan Kerja Di Pt Xyz</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X</w:t>
      </w:r>
      <w:r>
        <w:rPr>
          <w:rFonts w:hint="default" w:ascii="Times New Roman" w:hAnsi="Times New Roman" w:cs="Times New Roman"/>
          <w:kern w:val="0"/>
          <w:sz w:val="24"/>
          <w:szCs w:val="24"/>
        </w:rPr>
        <w:t>(1), 12430–12436.</w:t>
      </w:r>
    </w:p>
    <w:p w14:paraId="13B518AC">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Hamka, M. A. (2017). Safety Risks Assessment On Container Terminal Using Hazard Identification And Risk Assessment And Fault Tree Analysis Methods. </w:t>
      </w:r>
      <w:r>
        <w:rPr>
          <w:rFonts w:hint="default" w:ascii="Times New Roman" w:hAnsi="Times New Roman" w:cs="Times New Roman"/>
          <w:i/>
          <w:iCs/>
          <w:kern w:val="0"/>
          <w:sz w:val="24"/>
          <w:szCs w:val="24"/>
        </w:rPr>
        <w:t>Procedia Engineering</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194</w:t>
      </w:r>
      <w:r>
        <w:rPr>
          <w:rFonts w:hint="default" w:ascii="Times New Roman" w:hAnsi="Times New Roman" w:cs="Times New Roman"/>
          <w:kern w:val="0"/>
          <w:sz w:val="24"/>
          <w:szCs w:val="24"/>
        </w:rPr>
        <w:t>, 307–314.</w:t>
      </w:r>
    </w:p>
    <w:p w14:paraId="25803F4D">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Malik, A. S. T. (2023). </w:t>
      </w:r>
      <w:r>
        <w:rPr>
          <w:rFonts w:hint="default" w:ascii="Times New Roman" w:hAnsi="Times New Roman" w:cs="Times New Roman"/>
          <w:i/>
          <w:iCs/>
          <w:kern w:val="0"/>
          <w:sz w:val="24"/>
          <w:szCs w:val="24"/>
        </w:rPr>
        <w:t>… Dan Kesehatan Kerja Dengan Metode Hazard Identification, Risk Assessment, And Risk Control (Hirarc) Pada Operator Ground</w:t>
      </w:r>
      <w:r>
        <w:rPr>
          <w:rFonts w:hint="default" w:ascii="Times New Roman" w:hAnsi="Times New Roman" w:cs="Times New Roman"/>
          <w:kern w:val="0"/>
          <w:sz w:val="24"/>
          <w:szCs w:val="24"/>
        </w:rPr>
        <w:t>. Http://Repository.Unhas.Ac.Id/Id/Eprint/29253/%0ahttp://Repository.Unhas.Ac.Id/Id/Eprint/29253/2/K011191185_Skripsi_15-08-2023 Bab 1-2.Pdf</w:t>
      </w:r>
    </w:p>
    <w:p w14:paraId="44092505">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Nurlina, F., Utomo, B., Hariani, H., Widodo, S., Susanti, F., Al Amien, Y., Yashir, M., Mulyati, S., Sari, A. I., &amp; Aryani, D. (2024). </w:t>
      </w:r>
      <w:r>
        <w:rPr>
          <w:rFonts w:hint="default" w:ascii="Times New Roman" w:hAnsi="Times New Roman" w:cs="Times New Roman"/>
          <w:i/>
          <w:iCs/>
          <w:kern w:val="0"/>
          <w:sz w:val="24"/>
          <w:szCs w:val="24"/>
        </w:rPr>
        <w:t>Manajemen Keselamatan Dan Kesehatan Kerja</w:t>
      </w:r>
      <w:r>
        <w:rPr>
          <w:rFonts w:hint="default" w:ascii="Times New Roman" w:hAnsi="Times New Roman" w:cs="Times New Roman"/>
          <w:kern w:val="0"/>
          <w:sz w:val="24"/>
          <w:szCs w:val="24"/>
        </w:rPr>
        <w:t>.</w:t>
      </w:r>
    </w:p>
    <w:p w14:paraId="2DDE0590">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Roehan, K. R. A., Yuniar, Y., &amp; Desrianty, A. (2014). Usulan Perbaikan Sistem Manajemen Keselamatan Dan Kesehatan Kerja (Smk3) Menggunakan Metode Hazard Identifikasii And Risk Assesment (Hira). </w:t>
      </w:r>
      <w:r>
        <w:rPr>
          <w:rFonts w:hint="default" w:ascii="Times New Roman" w:hAnsi="Times New Roman" w:cs="Times New Roman"/>
          <w:i/>
          <w:iCs/>
          <w:kern w:val="0"/>
          <w:sz w:val="24"/>
          <w:szCs w:val="24"/>
        </w:rPr>
        <w:t>Reka Integra</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2</w:t>
      </w:r>
      <w:r>
        <w:rPr>
          <w:rFonts w:hint="default" w:ascii="Times New Roman" w:hAnsi="Times New Roman" w:cs="Times New Roman"/>
          <w:kern w:val="0"/>
          <w:sz w:val="24"/>
          <w:szCs w:val="24"/>
        </w:rPr>
        <w:t>(2).</w:t>
      </w:r>
    </w:p>
    <w:p w14:paraId="3988297F">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Saisandhiya, N. R., &amp; Babu, M. K. V. (2020). Hazard Identification And Risk Assessment In Petrochemical Industry. </w:t>
      </w:r>
      <w:r>
        <w:rPr>
          <w:rFonts w:hint="default" w:ascii="Times New Roman" w:hAnsi="Times New Roman" w:cs="Times New Roman"/>
          <w:i/>
          <w:iCs/>
          <w:kern w:val="0"/>
          <w:sz w:val="24"/>
          <w:szCs w:val="24"/>
        </w:rPr>
        <w:t>International Journal For Research In Applied Science And Engineering Technology</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8</w:t>
      </w:r>
      <w:r>
        <w:rPr>
          <w:rFonts w:hint="default" w:ascii="Times New Roman" w:hAnsi="Times New Roman" w:cs="Times New Roman"/>
          <w:kern w:val="0"/>
          <w:sz w:val="24"/>
          <w:szCs w:val="24"/>
        </w:rPr>
        <w:t>(9), 778–783.</w:t>
      </w:r>
    </w:p>
    <w:p w14:paraId="37ACD237">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Susihono, W., &amp; Akbar Rini, F. (2013). Penerapan Sistem Manajemen K3 Dan Indentifikasi Potensi Bahaya. </w:t>
      </w:r>
      <w:r>
        <w:rPr>
          <w:rFonts w:hint="default" w:ascii="Times New Roman" w:hAnsi="Times New Roman" w:cs="Times New Roman"/>
          <w:i/>
          <w:iCs/>
          <w:kern w:val="0"/>
          <w:sz w:val="24"/>
          <w:szCs w:val="24"/>
        </w:rPr>
        <w:t>Jurnal Ilmiah Pengetahuan &amp; Penerapan Teknik Industri</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2</w:t>
      </w:r>
      <w:r>
        <w:rPr>
          <w:rFonts w:hint="default" w:ascii="Times New Roman" w:hAnsi="Times New Roman" w:cs="Times New Roman"/>
          <w:kern w:val="0"/>
          <w:sz w:val="24"/>
          <w:szCs w:val="24"/>
        </w:rPr>
        <w:t>(2).</w:t>
      </w:r>
    </w:p>
    <w:p w14:paraId="7C096317">
      <w:pPr>
        <w:keepNext w:val="0"/>
        <w:keepLines w:val="0"/>
        <w:pageBreakBefore w:val="0"/>
        <w:widowControl w:val="0"/>
        <w:kinsoku/>
        <w:wordWrap/>
        <w:overflowPunct/>
        <w:topLinePunct w:val="0"/>
        <w:autoSpaceDE w:val="0"/>
        <w:autoSpaceDN w:val="0"/>
        <w:bidi w:val="0"/>
        <w:adjustRightInd w:val="0"/>
        <w:snapToGrid/>
        <w:spacing w:after="0" w:line="360" w:lineRule="auto"/>
        <w:ind w:left="480" w:hanging="48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Susilowati, F., Prawenti, H., &amp; Puspitasari, E. (2022). </w:t>
      </w:r>
      <w:r>
        <w:rPr>
          <w:rFonts w:hint="default" w:ascii="Times New Roman" w:hAnsi="Times New Roman" w:cs="Times New Roman"/>
          <w:i/>
          <w:iCs/>
          <w:kern w:val="0"/>
          <w:sz w:val="24"/>
          <w:szCs w:val="24"/>
        </w:rPr>
        <w:t>Kajian Sistem Manajemen Keselamatan Dan Kesehatan Kerja Pada Perusahaan Konstruksi Jalan Di Indonesia</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29</w:t>
      </w:r>
      <w:r>
        <w:rPr>
          <w:rFonts w:hint="default" w:ascii="Times New Roman" w:hAnsi="Times New Roman" w:cs="Times New Roman"/>
          <w:kern w:val="0"/>
          <w:sz w:val="24"/>
          <w:szCs w:val="24"/>
        </w:rPr>
        <w:t>(2), 189–198. Https://Doi.Org/10.5614/Jts.2022.29.2.10</w:t>
      </w:r>
    </w:p>
    <w:p w14:paraId="4379CA7C">
      <w:pPr>
        <w:keepNext w:val="0"/>
        <w:keepLines w:val="0"/>
        <w:pageBreakBefore w:val="0"/>
        <w:widowControl/>
        <w:kinsoku/>
        <w:wordWrap/>
        <w:overflowPunct/>
        <w:topLinePunct w:val="0"/>
        <w:autoSpaceDE/>
        <w:autoSpaceDN/>
        <w:bidi w:val="0"/>
        <w:adjustRightInd/>
        <w:snapToGrid/>
        <w:spacing w:beforeAutospacing="0" w:after="0" w:afterAutospacing="0" w:line="360" w:lineRule="auto"/>
        <w:ind w:left="0" w:leftChars="0" w:firstLine="0" w:firstLineChars="0"/>
        <w:jc w:val="both"/>
        <w:textAlignment w:val="auto"/>
        <w:rPr>
          <w:rFonts w:hint="default" w:ascii="Times New Roman" w:hAnsi="Times New Roman" w:eastAsia="SimSun" w:cs="Times New Roman"/>
          <w:sz w:val="24"/>
          <w:szCs w:val="24"/>
          <w:lang w:val="en-US"/>
        </w:rPr>
      </w:pPr>
      <w:r>
        <w:rPr>
          <w:rFonts w:hint="default" w:ascii="Times New Roman" w:hAnsi="Times New Roman" w:cs="Times New Roman"/>
          <w:kern w:val="0"/>
          <w:sz w:val="24"/>
          <w:szCs w:val="24"/>
        </w:rPr>
        <w:t xml:space="preserve">Ummah, M. S. (2019). </w:t>
      </w:r>
      <w:r>
        <w:rPr>
          <w:rFonts w:hint="default" w:ascii="Times New Roman" w:hAnsi="Times New Roman" w:cs="Times New Roman"/>
          <w:i/>
          <w:iCs/>
          <w:kern w:val="0"/>
          <w:sz w:val="24"/>
          <w:szCs w:val="24"/>
        </w:rPr>
        <w:t>Sustainability (Switzerland)</w:t>
      </w:r>
      <w:r>
        <w:rPr>
          <w:rFonts w:hint="default" w:ascii="Times New Roman" w:hAnsi="Times New Roman" w:cs="Times New Roman"/>
          <w:kern w:val="0"/>
          <w:sz w:val="24"/>
          <w:szCs w:val="24"/>
        </w:rPr>
        <w:t xml:space="preserve">, </w:t>
      </w:r>
      <w:r>
        <w:rPr>
          <w:rFonts w:hint="default" w:ascii="Times New Roman" w:hAnsi="Times New Roman" w:cs="Times New Roman"/>
          <w:i/>
          <w:iCs/>
          <w:kern w:val="0"/>
          <w:sz w:val="24"/>
          <w:szCs w:val="24"/>
        </w:rPr>
        <w:t>11</w:t>
      </w:r>
      <w:r>
        <w:rPr>
          <w:rFonts w:hint="default" w:ascii="Times New Roman" w:hAnsi="Times New Roman" w:cs="Times New Roman"/>
          <w:kern w:val="0"/>
          <w:sz w:val="24"/>
          <w:szCs w:val="24"/>
        </w:rPr>
        <w:t>(1), 1–14. Http://Scioteca.Caf.Com/Bitstream/Handle/123456789/1091/Red2017-Eng-8ene.Pdf?Sequence=12&amp;Isallowed=Y%0ahttp://Dx.Doi.Org/10.1016/J.Regsciurbeco.2008.06.005%0ahttps://Www.Researchgate.Net/Publication/305320484_Sistem_Pembetungan_Terpusat_Strategi_Melestar</w:t>
      </w:r>
    </w:p>
    <w:p w14:paraId="39001B8B">
      <w:pPr>
        <w:pStyle w:val="32"/>
      </w:pPr>
    </w:p>
    <w:sectPr>
      <w:type w:val="continuous"/>
      <w:pgSz w:w="11906" w:h="16838"/>
      <w:pgMar w:top="1701" w:right="2275" w:bottom="1701" w:left="2275" w:header="720" w:footer="720" w:gutter="0"/>
      <w:cols w:equalWidth="0" w:num="2">
        <w:col w:w="3465" w:space="425"/>
        <w:col w:w="3465"/>
      </w:cols>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Rockwell Condensed">
    <w:panose1 w:val="02060603050405020104"/>
    <w:charset w:val="00"/>
    <w:family w:val="roman"/>
    <w:pitch w:val="default"/>
    <w:sig w:usb0="00000003" w:usb1="00000000" w:usb2="00000000" w:usb3="00000000" w:csb0="20000001"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sz w:val="16"/>
      </w:rPr>
      <w:id w:val="1170773"/>
      <w:docPartObj>
        <w:docPartGallery w:val="AutoText"/>
      </w:docPartObj>
    </w:sdtPr>
    <w:sdtEndPr>
      <w:rPr>
        <w:rFonts w:ascii="Arial" w:hAnsi="Arial" w:cs="Arial"/>
        <w:sz w:val="16"/>
      </w:rPr>
    </w:sdtEndPr>
    <w:sdtContent>
      <w:p w14:paraId="7E1366F8">
        <w:pPr>
          <w:pStyle w:val="7"/>
          <w:jc w:val="right"/>
          <w:rPr>
            <w:rFonts w:ascii="Arial" w:hAnsi="Arial" w:cs="Arial"/>
            <w:sz w:val="16"/>
          </w:rPr>
        </w:pPr>
        <w:r>
          <w:rPr>
            <w:rFonts w:ascii="Times New Roman" w:hAnsi="Times New Roman" w:cs="Times New Roman"/>
            <w:sz w:val="24"/>
            <w:szCs w:val="24"/>
            <w:lang w:val="en-US"/>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0</wp:posOffset>
                  </wp:positionV>
                  <wp:extent cx="5391150" cy="314325"/>
                  <wp:effectExtent l="0" t="0" r="0" b="0"/>
                  <wp:wrapNone/>
                  <wp:docPr id="11" name="Text Box 11"/>
                  <wp:cNvGraphicFramePr/>
                  <a:graphic xmlns:a="http://schemas.openxmlformats.org/drawingml/2006/main">
                    <a:graphicData uri="http://schemas.microsoft.com/office/word/2010/wordprocessingShape">
                      <wps:wsp>
                        <wps:cNvSpPr txBox="1">
                          <a:spLocks noChangeArrowheads="1"/>
                        </wps:cNvSpPr>
                        <wps:spPr bwMode="auto">
                          <a:xfrm>
                            <a:off x="0" y="0"/>
                            <a:ext cx="5391150" cy="314325"/>
                          </a:xfrm>
                          <a:prstGeom prst="rect">
                            <a:avLst/>
                          </a:prstGeom>
                          <a:noFill/>
                          <a:ln w="9525">
                            <a:noFill/>
                            <a:miter lim="800000"/>
                          </a:ln>
                        </wps:spPr>
                        <wps:txbx>
                          <w:txbxContent>
                            <w:p w14:paraId="3A7C34EE">
                              <w:pPr>
                                <w:spacing w:after="0" w:line="240" w:lineRule="auto"/>
                                <w:rPr>
                                  <w:rFonts w:ascii="Arial" w:hAnsi="Arial" w:cs="Arial"/>
                                  <w:color w:val="002060"/>
                                  <w:sz w:val="18"/>
                                </w:rPr>
                              </w:pPr>
                              <w:r>
                                <w:rPr>
                                  <w:rFonts w:ascii="Arial" w:hAnsi="Arial" w:cs="Arial"/>
                                  <w:color w:val="002060"/>
                                  <w:sz w:val="18"/>
                                </w:rPr>
                                <w:t>Int</w:t>
                              </w:r>
                              <w:r>
                                <w:rPr>
                                  <w:rFonts w:ascii="Arial" w:hAnsi="Arial" w:cs="Arial"/>
                                  <w:color w:val="002060"/>
                                  <w:sz w:val="18"/>
                                  <w:lang w:val="id-ID"/>
                                </w:rPr>
                                <w:t>r</w:t>
                              </w:r>
                              <w:r>
                                <w:rPr>
                                  <w:rFonts w:ascii="Arial" w:hAnsi="Arial" w:cs="Arial"/>
                                  <w:color w:val="002060"/>
                                  <w:sz w:val="18"/>
                                </w:rPr>
                                <w:t xml:space="preserve">iga </w:t>
                              </w:r>
                              <w:r>
                                <w:rPr>
                                  <w:rFonts w:ascii="Arial" w:hAnsi="Arial" w:cs="Arial"/>
                                  <w:b/>
                                  <w:color w:val="002060"/>
                                  <w:sz w:val="24"/>
                                </w:rPr>
                                <w:t>|</w:t>
                              </w:r>
                              <w:r>
                                <w:rPr>
                                  <w:rFonts w:ascii="Arial" w:hAnsi="Arial" w:cs="Arial"/>
                                  <w:color w:val="002060"/>
                                  <w:sz w:val="18"/>
                                </w:rPr>
                                <w:t xml:space="preserve"> Vol. x (x) 20xx </w:t>
                              </w:r>
                              <w:r>
                                <w:rPr>
                                  <w:rFonts w:ascii="Arial" w:hAnsi="Arial" w:cs="Arial"/>
                                  <w:b/>
                                  <w:color w:val="002060"/>
                                  <w:sz w:val="24"/>
                                </w:rPr>
                                <w:t>|</w:t>
                              </w:r>
                              <w:r>
                                <w:rPr>
                                  <w:rFonts w:ascii="Arial" w:hAnsi="Arial" w:cs="Arial"/>
                                  <w:color w:val="002060"/>
                                  <w:sz w:val="18"/>
                                </w:rPr>
                                <w:t xml:space="preserve"> </w:t>
                              </w:r>
                            </w:p>
                            <w:p w14:paraId="2E229718"/>
                            <w:p w14:paraId="066B69B6"/>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0pt;margin-top:0pt;height:24.75pt;width:424.5pt;mso-position-horizontal-relative:margin;z-index:251665408;mso-width-relative:page;mso-height-relative:page;" filled="f" stroked="f" coordsize="21600,21600" o:gfxdata="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1ftE7SAAAABAEAAA8AAAAAAAAAAQAgAAAA&#10;IgAAAGRycy9kb3ducmV2LnhtbFBLAQIUABQAAAAIAIdO4kBFNEDcEQIAACoEAAAOAAAAAAAAAAEA&#10;IAAAACEBAABkcnMvZTJvRG9jLnhtbFBLBQYAAAAABgAGAFkBAACkBQAAAAA=&#10;">
                  <v:fill on="f" focussize="0,0"/>
                  <v:stroke on="f" miterlimit="8" joinstyle="miter"/>
                  <v:imagedata o:title=""/>
                  <o:lock v:ext="edit" aspectratio="f"/>
                  <v:textbox>
                    <w:txbxContent>
                      <w:p w14:paraId="3A7C34EE">
                        <w:pPr>
                          <w:spacing w:after="0" w:line="240" w:lineRule="auto"/>
                          <w:rPr>
                            <w:rFonts w:ascii="Arial" w:hAnsi="Arial" w:cs="Arial"/>
                            <w:color w:val="002060"/>
                            <w:sz w:val="18"/>
                          </w:rPr>
                        </w:pPr>
                        <w:r>
                          <w:rPr>
                            <w:rFonts w:ascii="Arial" w:hAnsi="Arial" w:cs="Arial"/>
                            <w:color w:val="002060"/>
                            <w:sz w:val="18"/>
                          </w:rPr>
                          <w:t>Int</w:t>
                        </w:r>
                        <w:r>
                          <w:rPr>
                            <w:rFonts w:ascii="Arial" w:hAnsi="Arial" w:cs="Arial"/>
                            <w:color w:val="002060"/>
                            <w:sz w:val="18"/>
                            <w:lang w:val="id-ID"/>
                          </w:rPr>
                          <w:t>r</w:t>
                        </w:r>
                        <w:r>
                          <w:rPr>
                            <w:rFonts w:ascii="Arial" w:hAnsi="Arial" w:cs="Arial"/>
                            <w:color w:val="002060"/>
                            <w:sz w:val="18"/>
                          </w:rPr>
                          <w:t xml:space="preserve">iga </w:t>
                        </w:r>
                        <w:r>
                          <w:rPr>
                            <w:rFonts w:ascii="Arial" w:hAnsi="Arial" w:cs="Arial"/>
                            <w:b/>
                            <w:color w:val="002060"/>
                            <w:sz w:val="24"/>
                          </w:rPr>
                          <w:t>|</w:t>
                        </w:r>
                        <w:r>
                          <w:rPr>
                            <w:rFonts w:ascii="Arial" w:hAnsi="Arial" w:cs="Arial"/>
                            <w:color w:val="002060"/>
                            <w:sz w:val="18"/>
                          </w:rPr>
                          <w:t xml:space="preserve"> Vol. x (x) 20xx </w:t>
                        </w:r>
                        <w:r>
                          <w:rPr>
                            <w:rFonts w:ascii="Arial" w:hAnsi="Arial" w:cs="Arial"/>
                            <w:b/>
                            <w:color w:val="002060"/>
                            <w:sz w:val="24"/>
                          </w:rPr>
                          <w:t>|</w:t>
                        </w:r>
                        <w:r>
                          <w:rPr>
                            <w:rFonts w:ascii="Arial" w:hAnsi="Arial" w:cs="Arial"/>
                            <w:color w:val="002060"/>
                            <w:sz w:val="18"/>
                          </w:rPr>
                          <w:t xml:space="preserve"> </w:t>
                        </w:r>
                      </w:p>
                      <w:p w14:paraId="2E229718"/>
                      <w:p w14:paraId="066B69B6"/>
                    </w:txbxContent>
                  </v:textbox>
                </v:shape>
              </w:pict>
            </mc:Fallback>
          </mc:AlternateContent>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Pr>
            <w:rFonts w:ascii="Arial" w:hAnsi="Arial" w:cs="Arial"/>
            <w:sz w:val="16"/>
          </w:rPr>
          <w:t>4</w:t>
        </w:r>
        <w:r>
          <w:rPr>
            <w:rFonts w:ascii="Arial" w:hAnsi="Arial" w:cs="Arial"/>
            <w:sz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D5AD6">
    <w:pPr>
      <w:pStyle w:val="7"/>
      <w:jc w:val="right"/>
    </w:pPr>
    <w:sdt>
      <w:sdtPr>
        <w:id w:val="1170772"/>
        <w:docPartObj>
          <w:docPartGallery w:val="AutoText"/>
        </w:docPartObj>
      </w:sdtPr>
      <w:sdtEndPr>
        <w:rPr>
          <w:rFonts w:ascii="Arial" w:hAnsi="Arial" w:cs="Arial"/>
          <w:sz w:val="18"/>
        </w:rPr>
      </w:sdtEndPr>
      <w:sdtContent>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sz w:val="18"/>
          </w:rPr>
          <w:t>2</w:t>
        </w:r>
        <w:r>
          <w:rPr>
            <w:rFonts w:ascii="Arial" w:hAnsi="Arial" w:cs="Arial"/>
            <w:sz w:val="18"/>
          </w:rPr>
          <w:fldChar w:fldCharType="end"/>
        </w:r>
      </w:sdtContent>
    </w:sdt>
    <w:r>
      <w:rPr>
        <w:rFonts w:ascii="Times New Roman" w:hAnsi="Times New Roman" w:cs="Times New Roman"/>
        <w:sz w:val="24"/>
        <w:szCs w:val="24"/>
        <w:lang w:val="en-US"/>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5391150" cy="314325"/>
              <wp:effectExtent l="0" t="0" r="0" b="0"/>
              <wp:wrapNone/>
              <wp:docPr id="307" name="Text Box 307"/>
              <wp:cNvGraphicFramePr/>
              <a:graphic xmlns:a="http://schemas.openxmlformats.org/drawingml/2006/main">
                <a:graphicData uri="http://schemas.microsoft.com/office/word/2010/wordprocessingShape">
                  <wps:wsp>
                    <wps:cNvSpPr txBox="1">
                      <a:spLocks noChangeArrowheads="1"/>
                    </wps:cNvSpPr>
                    <wps:spPr bwMode="auto">
                      <a:xfrm>
                        <a:off x="0" y="0"/>
                        <a:ext cx="5391150" cy="314325"/>
                      </a:xfrm>
                      <a:prstGeom prst="rect">
                        <a:avLst/>
                      </a:prstGeom>
                      <a:noFill/>
                      <a:ln w="9525">
                        <a:noFill/>
                        <a:miter lim="800000"/>
                      </a:ln>
                    </wps:spPr>
                    <wps:txbx>
                      <w:txbxContent>
                        <w:p w14:paraId="53DE979F">
                          <w:pPr>
                            <w:spacing w:after="0" w:line="240" w:lineRule="auto"/>
                            <w:rPr>
                              <w:rFonts w:ascii="Arial" w:hAnsi="Arial" w:cs="Arial"/>
                              <w:color w:val="595959" w:themeColor="text1" w:themeTint="A6"/>
                              <w:sz w:val="18"/>
                              <w14:textFill>
                                <w14:solidFill>
                                  <w14:schemeClr w14:val="tx1">
                                    <w14:lumMod w14:val="65000"/>
                                    <w14:lumOff w14:val="35000"/>
                                  </w14:schemeClr>
                                </w14:solidFill>
                              </w14:textFill>
                            </w:rPr>
                          </w:pPr>
                          <w:r>
                            <w:rPr>
                              <w:rFonts w:ascii="Arial" w:hAnsi="Arial" w:cs="Arial"/>
                              <w:color w:val="595959" w:themeColor="text1" w:themeTint="A6"/>
                              <w:sz w:val="18"/>
                              <w14:textFill>
                                <w14:solidFill>
                                  <w14:schemeClr w14:val="tx1">
                                    <w14:lumMod w14:val="65000"/>
                                    <w14:lumOff w14:val="35000"/>
                                  </w14:schemeClr>
                                </w14:solidFill>
                              </w14:textFill>
                            </w:rPr>
                            <w:t xml:space="preserve">JIG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Vol. x (x) 2019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w:t>
                          </w:r>
                        </w:p>
                        <w:p w14:paraId="4428F827"/>
                        <w:p w14:paraId="3D7A5A61"/>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0pt;margin-top:0pt;height:24.75pt;width:424.5pt;mso-position-horizontal-relative:margin;z-index:251662336;mso-width-relative:page;mso-height-relative:page;" filled="f" stroked="f" coordsize="21600,21600" o:gfxdata="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X7RO0gAAAAQBAAAPAAAAAAAAAAEAIAAA&#10;ACIAAABkcnMvZG93bnJldi54bWxQSwECFAAUAAAACACHTuJA8eM5uhICAAAsBAAADgAAAAAAAAAB&#10;ACAAAAAhAQAAZHJzL2Uyb0RvYy54bWxQSwUGAAAAAAYABgBZAQAApQUAAAAA&#10;">
              <v:fill on="f" focussize="0,0"/>
              <v:stroke on="f" miterlimit="8" joinstyle="miter"/>
              <v:imagedata o:title=""/>
              <o:lock v:ext="edit" aspectratio="f"/>
              <v:textbox>
                <w:txbxContent>
                  <w:p w14:paraId="53DE979F">
                    <w:pPr>
                      <w:spacing w:after="0" w:line="240" w:lineRule="auto"/>
                      <w:rPr>
                        <w:rFonts w:ascii="Arial" w:hAnsi="Arial" w:cs="Arial"/>
                        <w:color w:val="595959" w:themeColor="text1" w:themeTint="A6"/>
                        <w:sz w:val="18"/>
                        <w14:textFill>
                          <w14:solidFill>
                            <w14:schemeClr w14:val="tx1">
                              <w14:lumMod w14:val="65000"/>
                              <w14:lumOff w14:val="35000"/>
                            </w14:schemeClr>
                          </w14:solidFill>
                        </w14:textFill>
                      </w:rPr>
                    </w:pPr>
                    <w:r>
                      <w:rPr>
                        <w:rFonts w:ascii="Arial" w:hAnsi="Arial" w:cs="Arial"/>
                        <w:color w:val="595959" w:themeColor="text1" w:themeTint="A6"/>
                        <w:sz w:val="18"/>
                        <w14:textFill>
                          <w14:solidFill>
                            <w14:schemeClr w14:val="tx1">
                              <w14:lumMod w14:val="65000"/>
                              <w14:lumOff w14:val="35000"/>
                            </w14:schemeClr>
                          </w14:solidFill>
                        </w14:textFill>
                      </w:rPr>
                      <w:t xml:space="preserve">JIG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Vol. x (x) 2019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w:t>
                    </w:r>
                  </w:p>
                  <w:p w14:paraId="4428F827"/>
                  <w:p w14:paraId="3D7A5A61"/>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A927D">
    <w:pPr>
      <w:pStyle w:val="7"/>
      <w:jc w:val="right"/>
      <w:rPr>
        <w:rFonts w:ascii="Arial" w:hAnsi="Arial" w:cs="Arial"/>
        <w:sz w:val="18"/>
      </w:rPr>
    </w:pPr>
    <w:r>
      <w:rPr>
        <w:rFonts w:ascii="Times New Roman" w:hAnsi="Times New Roman" w:cs="Times New Roman"/>
        <w:sz w:val="24"/>
        <w:szCs w:val="24"/>
        <w:lang w:val="en-US"/>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5391150" cy="314325"/>
              <wp:effectExtent l="0" t="0" r="0" b="0"/>
              <wp:wrapNone/>
              <wp:docPr id="6" name="Text Box 6"/>
              <wp:cNvGraphicFramePr/>
              <a:graphic xmlns:a="http://schemas.openxmlformats.org/drawingml/2006/main">
                <a:graphicData uri="http://schemas.microsoft.com/office/word/2010/wordprocessingShape">
                  <wps:wsp>
                    <wps:cNvSpPr txBox="1">
                      <a:spLocks noChangeArrowheads="1"/>
                    </wps:cNvSpPr>
                    <wps:spPr bwMode="auto">
                      <a:xfrm>
                        <a:off x="0" y="0"/>
                        <a:ext cx="5391150" cy="314325"/>
                      </a:xfrm>
                      <a:prstGeom prst="rect">
                        <a:avLst/>
                      </a:prstGeom>
                      <a:noFill/>
                      <a:ln w="9525">
                        <a:noFill/>
                        <a:miter lim="800000"/>
                      </a:ln>
                    </wps:spPr>
                    <wps:txbx>
                      <w:txbxContent>
                        <w:p w14:paraId="477B4367">
                          <w:pPr>
                            <w:spacing w:after="0" w:line="240" w:lineRule="auto"/>
                            <w:rPr>
                              <w:rFonts w:ascii="Arial" w:hAnsi="Arial" w:cs="Arial"/>
                              <w:color w:val="595959" w:themeColor="text1" w:themeTint="A6"/>
                              <w:sz w:val="18"/>
                              <w14:textFill>
                                <w14:solidFill>
                                  <w14:schemeClr w14:val="tx1">
                                    <w14:lumMod w14:val="65000"/>
                                    <w14:lumOff w14:val="35000"/>
                                  </w14:schemeClr>
                                </w14:solidFill>
                              </w14:textFill>
                            </w:rPr>
                          </w:pPr>
                          <w:r>
                            <w:rPr>
                              <w:rFonts w:ascii="Arial" w:hAnsi="Arial" w:cs="Arial"/>
                              <w:color w:val="595959" w:themeColor="text1" w:themeTint="A6"/>
                              <w:sz w:val="18"/>
                              <w14:textFill>
                                <w14:solidFill>
                                  <w14:schemeClr w14:val="tx1">
                                    <w14:lumMod w14:val="65000"/>
                                    <w14:lumOff w14:val="35000"/>
                                  </w14:schemeClr>
                                </w14:solidFill>
                              </w14:textFill>
                            </w:rPr>
                            <w:t xml:space="preserve">JIG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Vol. x (x) 2019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w:t>
                          </w:r>
                        </w:p>
                        <w:p w14:paraId="73F97A0D"/>
                        <w:p w14:paraId="334EA554"/>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0pt;margin-top:0pt;height:24.75pt;width:424.5pt;mso-position-horizontal-relative:margin;z-index:251663360;mso-width-relative:page;mso-height-relative:page;" filled="f" stroked="f" coordsize="21600,21600" o:gfxdata="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1ftE7SAAAABAEAAA8AAAAAAAAAAQAgAAAA&#10;IgAAAGRycy9kb3ducmV2LnhtbFBLAQIUABQAAAAIAIdO4kCWUw7CEQIAACgEAAAOAAAAAAAAAAEA&#10;IAAAACEBAABkcnMvZTJvRG9jLnhtbFBLBQYAAAAABgAGAFkBAACkBQAAAAA=&#10;">
              <v:fill on="f" focussize="0,0"/>
              <v:stroke on="f" miterlimit="8" joinstyle="miter"/>
              <v:imagedata o:title=""/>
              <o:lock v:ext="edit" aspectratio="f"/>
              <v:textbox>
                <w:txbxContent>
                  <w:p w14:paraId="477B4367">
                    <w:pPr>
                      <w:spacing w:after="0" w:line="240" w:lineRule="auto"/>
                      <w:rPr>
                        <w:rFonts w:ascii="Arial" w:hAnsi="Arial" w:cs="Arial"/>
                        <w:color w:val="595959" w:themeColor="text1" w:themeTint="A6"/>
                        <w:sz w:val="18"/>
                        <w14:textFill>
                          <w14:solidFill>
                            <w14:schemeClr w14:val="tx1">
                              <w14:lumMod w14:val="65000"/>
                              <w14:lumOff w14:val="35000"/>
                            </w14:schemeClr>
                          </w14:solidFill>
                        </w14:textFill>
                      </w:rPr>
                    </w:pPr>
                    <w:r>
                      <w:rPr>
                        <w:rFonts w:ascii="Arial" w:hAnsi="Arial" w:cs="Arial"/>
                        <w:color w:val="595959" w:themeColor="text1" w:themeTint="A6"/>
                        <w:sz w:val="18"/>
                        <w14:textFill>
                          <w14:solidFill>
                            <w14:schemeClr w14:val="tx1">
                              <w14:lumMod w14:val="65000"/>
                              <w14:lumOff w14:val="35000"/>
                            </w14:schemeClr>
                          </w14:solidFill>
                        </w14:textFill>
                      </w:rPr>
                      <w:t xml:space="preserve">JIG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Vol. x (x) 2019 </w:t>
                    </w:r>
                    <w:r>
                      <w:rPr>
                        <w:rFonts w:ascii="Arial" w:hAnsi="Arial" w:cs="Arial"/>
                        <w:b/>
                        <w:color w:val="595959" w:themeColor="text1" w:themeTint="A6"/>
                        <w:sz w:val="24"/>
                        <w14:textFill>
                          <w14:solidFill>
                            <w14:schemeClr w14:val="tx1">
                              <w14:lumMod w14:val="65000"/>
                              <w14:lumOff w14:val="35000"/>
                            </w14:schemeClr>
                          </w14:solidFill>
                        </w14:textFill>
                      </w:rPr>
                      <w:t>|</w:t>
                    </w:r>
                    <w:r>
                      <w:rPr>
                        <w:rFonts w:ascii="Arial" w:hAnsi="Arial" w:cs="Arial"/>
                        <w:color w:val="595959" w:themeColor="text1" w:themeTint="A6"/>
                        <w:sz w:val="18"/>
                        <w14:textFill>
                          <w14:solidFill>
                            <w14:schemeClr w14:val="tx1">
                              <w14:lumMod w14:val="65000"/>
                              <w14:lumOff w14:val="35000"/>
                            </w14:schemeClr>
                          </w14:solidFill>
                        </w14:textFill>
                      </w:rPr>
                      <w:t xml:space="preserve"> </w:t>
                    </w:r>
                  </w:p>
                  <w:p w14:paraId="73F97A0D"/>
                  <w:p w14:paraId="334EA554"/>
                </w:txbxContent>
              </v:textbox>
            </v:shape>
          </w:pict>
        </mc:Fallback>
      </mc:AlternateContent>
    </w:r>
    <w:sdt>
      <w:sdtPr>
        <w:id w:val="1170774"/>
        <w:docPartObj>
          <w:docPartGallery w:val="AutoText"/>
        </w:docPartObj>
      </w:sdtPr>
      <w:sdtEndPr>
        <w:rPr>
          <w:rFonts w:ascii="Arial" w:hAnsi="Arial" w:cs="Arial"/>
          <w:sz w:val="18"/>
        </w:rPr>
      </w:sdtEndPr>
      <w:sdtContent>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sz w:val="18"/>
          </w:rPr>
          <w:t>2</w:t>
        </w:r>
        <w:r>
          <w:rPr>
            <w:rFonts w:ascii="Arial" w:hAnsi="Arial" w:cs="Arial"/>
            <w:sz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C3129">
    <w:pPr>
      <w:pStyle w:val="8"/>
      <w:rPr>
        <w:lang w:val="id-ID"/>
      </w:rPr>
    </w:pPr>
    <w:r>
      <w:rPr>
        <w:lang w:val="en-US"/>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6985</wp:posOffset>
              </wp:positionV>
              <wp:extent cx="3743325" cy="588645"/>
              <wp:effectExtent l="3810" t="0" r="0" b="4445"/>
              <wp:wrapNone/>
              <wp:docPr id="1" name="Rectangle 7"/>
              <wp:cNvGraphicFramePr/>
              <a:graphic xmlns:a="http://schemas.openxmlformats.org/drawingml/2006/main">
                <a:graphicData uri="http://schemas.microsoft.com/office/word/2010/wordprocessingShape">
                  <wps:wsp>
                    <wps:cNvSpPr>
                      <a:spLocks noChangeArrowheads="1"/>
                    </wps:cNvSpPr>
                    <wps:spPr bwMode="auto">
                      <a:xfrm>
                        <a:off x="0" y="0"/>
                        <a:ext cx="3743325" cy="588645"/>
                      </a:xfrm>
                      <a:prstGeom prst="rect">
                        <a:avLst/>
                      </a:prstGeom>
                      <a:noFill/>
                      <a:ln>
                        <a:noFill/>
                      </a:ln>
                    </wps:spPr>
                    <wps:txbx>
                      <w:txbxContent>
                        <w:p w14:paraId="5FFFCE42">
                          <w:pPr>
                            <w:pStyle w:val="8"/>
                            <w:jc w:val="right"/>
                            <w:rPr>
                              <w:rFonts w:ascii="Rockwell Condensed" w:hAnsi="Rockwell Condensed" w:cs="Arial"/>
                              <w:b/>
                              <w:color w:val="002060"/>
                              <w:spacing w:val="20"/>
                              <w:sz w:val="24"/>
                              <w:szCs w:val="24"/>
                              <w:lang w:val="id-ID"/>
                            </w:rPr>
                          </w:pPr>
                          <w:r>
                            <w:rPr>
                              <w:rFonts w:ascii="Rockwell Condensed" w:hAnsi="Rockwell Condensed" w:cs="Arial"/>
                              <w:b/>
                              <w:color w:val="002060"/>
                              <w:spacing w:val="20"/>
                              <w:sz w:val="24"/>
                              <w:szCs w:val="24"/>
                              <w:lang w:val="id-ID"/>
                            </w:rPr>
                            <w:t>INTRIGA :</w:t>
                          </w:r>
                          <w:r>
                            <w:rPr>
                              <w:rFonts w:ascii="Rockwell Condensed" w:hAnsi="Rockwell Condensed" w:cs="Arial"/>
                              <w:b/>
                              <w:color w:val="002060"/>
                              <w:spacing w:val="20"/>
                              <w:sz w:val="24"/>
                              <w:szCs w:val="24"/>
                            </w:rPr>
                            <w:t xml:space="preserve"> INFO TEKNIK INDUSTRI GALUH</w:t>
                          </w:r>
                        </w:p>
                        <w:p w14:paraId="0E2AFD3D">
                          <w:pPr>
                            <w:pStyle w:val="8"/>
                            <w:jc w:val="right"/>
                            <w:rPr>
                              <w:rFonts w:ascii="Rockwell Condensed" w:hAnsi="Rockwell Condensed" w:cs="Arial"/>
                              <w:b/>
                              <w:color w:val="002060"/>
                              <w:spacing w:val="20"/>
                              <w:lang w:val="id-ID"/>
                            </w:rPr>
                          </w:pPr>
                          <w:r>
                            <w:rPr>
                              <w:rFonts w:ascii="Rockwell Condensed" w:hAnsi="Rockwell Condensed" w:cs="Arial"/>
                              <w:b/>
                              <w:color w:val="002060"/>
                              <w:spacing w:val="20"/>
                              <w:lang w:val="id-ID"/>
                            </w:rPr>
                            <w:t>Jurnal Mahasiswa Teknik Industri</w:t>
                          </w:r>
                        </w:p>
                        <w:p w14:paraId="74DED382">
                          <w:pPr>
                            <w:pStyle w:val="8"/>
                            <w:jc w:val="right"/>
                            <w:rPr>
                              <w:rFonts w:ascii="Rockwell Condensed" w:hAnsi="Rockwell Condensed" w:cs="Arial"/>
                              <w:color w:val="808080" w:themeColor="text1" w:themeTint="80"/>
                              <w:sz w:val="20"/>
                              <w:lang w:val="id-ID"/>
                              <w14:textFill>
                                <w14:solidFill>
                                  <w14:schemeClr w14:val="tx1">
                                    <w14:lumMod w14:val="50000"/>
                                    <w14:lumOff w14:val="50000"/>
                                  </w14:schemeClr>
                                </w14:solidFill>
                              </w14:textFill>
                            </w:rPr>
                          </w:pPr>
                          <w:r>
                            <w:rPr>
                              <w:rFonts w:ascii="Rockwell Condensed" w:hAnsi="Rockwell Condensed" w:cs="Arial"/>
                              <w:color w:val="808080" w:themeColor="text1" w:themeTint="80"/>
                              <w:sz w:val="20"/>
                              <w:lang w:val="id-ID"/>
                              <w14:textFill>
                                <w14:solidFill>
                                  <w14:schemeClr w14:val="tx1">
                                    <w14:lumMod w14:val="50000"/>
                                    <w14:lumOff w14:val="50000"/>
                                  </w14:schemeClr>
                                </w14:solidFill>
                              </w14:textFill>
                            </w:rPr>
                            <w:t>(</w:t>
                          </w:r>
                          <w:r>
                            <w:rPr>
                              <w:rFonts w:hint="default" w:ascii="Rockwell Condensed" w:hAnsi="Rockwell Condensed" w:cs="Arial"/>
                              <w:color w:val="808080" w:themeColor="text1" w:themeTint="80"/>
                              <w:sz w:val="20"/>
                              <w:lang w:val="en-US"/>
                              <w14:textFill>
                                <w14:solidFill>
                                  <w14:schemeClr w14:val="tx1">
                                    <w14:lumMod w14:val="50000"/>
                                    <w14:lumOff w14:val="50000"/>
                                  </w14:schemeClr>
                                </w14:solidFill>
                              </w14:textFill>
                            </w:rPr>
                            <w:t>Dede Febri</w:t>
                          </w:r>
                          <w:r>
                            <w:rPr>
                              <w:rFonts w:ascii="Rockwell Condensed" w:hAnsi="Rockwell Condensed" w:cs="Arial"/>
                              <w:color w:val="808080" w:themeColor="text1" w:themeTint="80"/>
                              <w:sz w:val="20"/>
                              <w:lang w:val="id-ID"/>
                              <w14:textFill>
                                <w14:solidFill>
                                  <w14:schemeClr w14:val="tx1">
                                    <w14:lumMod w14:val="50000"/>
                                    <w14:lumOff w14:val="50000"/>
                                  </w14:schemeClr>
                                </w14:solidFill>
                              </w14:textFill>
                            </w:rPr>
                            <w:t>)</w:t>
                          </w:r>
                        </w:p>
                      </w:txbxContent>
                    </wps:txbx>
                    <wps:bodyPr rot="0" vert="horz" wrap="square" lIns="54000" tIns="10800" rIns="54000" bIns="10800" anchor="ctr" anchorCtr="0" upright="1">
                      <a:noAutofit/>
                    </wps:bodyPr>
                  </wps:wsp>
                </a:graphicData>
              </a:graphic>
            </wp:anchor>
          </w:drawing>
        </mc:Choice>
        <mc:Fallback>
          <w:pict>
            <v:rect id="Rectangle 7" o:spid="_x0000_s1026" o:spt="1" style="position:absolute;left:0pt;margin-top:0.55pt;height:46.35pt;width:294.75pt;mso-position-horizontal:right;mso-position-horizontal-relative:margin;z-index:251664384;v-text-anchor:middle;mso-width-relative:page;mso-height-relative:page;" filled="f" stroked="f" coordsize="21600,21600" o:gfxdata="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VE2zXAAAABQEAAA8AAAAAAAAAAQAgAAAAIgAAAGRycy9k&#10;b3ducmV2LnhtbFBLAQIUABQAAAAIAIdO4kAV06g7AwIAAA0EAAAOAAAAAAAAAAEAIAAAACYBAABk&#10;cnMvZTJvRG9jLnhtbFBLBQYAAAAABgAGAFkBAACbBQAAAAA=&#10;">
              <v:fill on="f" focussize="0,0"/>
              <v:stroke on="f"/>
              <v:imagedata o:title=""/>
              <o:lock v:ext="edit" aspectratio="f"/>
              <v:textbox inset="1.5mm,0.3mm,1.5mm,0.3mm">
                <w:txbxContent>
                  <w:p w14:paraId="5FFFCE42">
                    <w:pPr>
                      <w:pStyle w:val="8"/>
                      <w:jc w:val="right"/>
                      <w:rPr>
                        <w:rFonts w:ascii="Rockwell Condensed" w:hAnsi="Rockwell Condensed" w:cs="Arial"/>
                        <w:b/>
                        <w:color w:val="002060"/>
                        <w:spacing w:val="20"/>
                        <w:sz w:val="24"/>
                        <w:szCs w:val="24"/>
                        <w:lang w:val="id-ID"/>
                      </w:rPr>
                    </w:pPr>
                    <w:r>
                      <w:rPr>
                        <w:rFonts w:ascii="Rockwell Condensed" w:hAnsi="Rockwell Condensed" w:cs="Arial"/>
                        <w:b/>
                        <w:color w:val="002060"/>
                        <w:spacing w:val="20"/>
                        <w:sz w:val="24"/>
                        <w:szCs w:val="24"/>
                        <w:lang w:val="id-ID"/>
                      </w:rPr>
                      <w:t>INTRIGA :</w:t>
                    </w:r>
                    <w:r>
                      <w:rPr>
                        <w:rFonts w:ascii="Rockwell Condensed" w:hAnsi="Rockwell Condensed" w:cs="Arial"/>
                        <w:b/>
                        <w:color w:val="002060"/>
                        <w:spacing w:val="20"/>
                        <w:sz w:val="24"/>
                        <w:szCs w:val="24"/>
                      </w:rPr>
                      <w:t xml:space="preserve"> INFO TEKNIK INDUSTRI GALUH</w:t>
                    </w:r>
                  </w:p>
                  <w:p w14:paraId="0E2AFD3D">
                    <w:pPr>
                      <w:pStyle w:val="8"/>
                      <w:jc w:val="right"/>
                      <w:rPr>
                        <w:rFonts w:ascii="Rockwell Condensed" w:hAnsi="Rockwell Condensed" w:cs="Arial"/>
                        <w:b/>
                        <w:color w:val="002060"/>
                        <w:spacing w:val="20"/>
                        <w:lang w:val="id-ID"/>
                      </w:rPr>
                    </w:pPr>
                    <w:r>
                      <w:rPr>
                        <w:rFonts w:ascii="Rockwell Condensed" w:hAnsi="Rockwell Condensed" w:cs="Arial"/>
                        <w:b/>
                        <w:color w:val="002060"/>
                        <w:spacing w:val="20"/>
                        <w:lang w:val="id-ID"/>
                      </w:rPr>
                      <w:t>Jurnal Mahasiswa Teknik Industri</w:t>
                    </w:r>
                  </w:p>
                  <w:p w14:paraId="74DED382">
                    <w:pPr>
                      <w:pStyle w:val="8"/>
                      <w:jc w:val="right"/>
                      <w:rPr>
                        <w:rFonts w:ascii="Rockwell Condensed" w:hAnsi="Rockwell Condensed" w:cs="Arial"/>
                        <w:color w:val="808080" w:themeColor="text1" w:themeTint="80"/>
                        <w:sz w:val="20"/>
                        <w:lang w:val="id-ID"/>
                        <w14:textFill>
                          <w14:solidFill>
                            <w14:schemeClr w14:val="tx1">
                              <w14:lumMod w14:val="50000"/>
                              <w14:lumOff w14:val="50000"/>
                            </w14:schemeClr>
                          </w14:solidFill>
                        </w14:textFill>
                      </w:rPr>
                    </w:pPr>
                    <w:r>
                      <w:rPr>
                        <w:rFonts w:ascii="Rockwell Condensed" w:hAnsi="Rockwell Condensed" w:cs="Arial"/>
                        <w:color w:val="808080" w:themeColor="text1" w:themeTint="80"/>
                        <w:sz w:val="20"/>
                        <w:lang w:val="id-ID"/>
                        <w14:textFill>
                          <w14:solidFill>
                            <w14:schemeClr w14:val="tx1">
                              <w14:lumMod w14:val="50000"/>
                              <w14:lumOff w14:val="50000"/>
                            </w14:schemeClr>
                          </w14:solidFill>
                        </w14:textFill>
                      </w:rPr>
                      <w:t>(</w:t>
                    </w:r>
                    <w:r>
                      <w:rPr>
                        <w:rFonts w:hint="default" w:ascii="Rockwell Condensed" w:hAnsi="Rockwell Condensed" w:cs="Arial"/>
                        <w:color w:val="808080" w:themeColor="text1" w:themeTint="80"/>
                        <w:sz w:val="20"/>
                        <w:lang w:val="en-US"/>
                        <w14:textFill>
                          <w14:solidFill>
                            <w14:schemeClr w14:val="tx1">
                              <w14:lumMod w14:val="50000"/>
                              <w14:lumOff w14:val="50000"/>
                            </w14:schemeClr>
                          </w14:solidFill>
                        </w14:textFill>
                      </w:rPr>
                      <w:t>Dede Febri</w:t>
                    </w:r>
                    <w:r>
                      <w:rPr>
                        <w:rFonts w:ascii="Rockwell Condensed" w:hAnsi="Rockwell Condensed" w:cs="Arial"/>
                        <w:color w:val="808080" w:themeColor="text1" w:themeTint="80"/>
                        <w:sz w:val="20"/>
                        <w:lang w:val="id-ID"/>
                        <w14:textFill>
                          <w14:solidFill>
                            <w14:schemeClr w14:val="tx1">
                              <w14:lumMod w14:val="50000"/>
                              <w14:lumOff w14:val="50000"/>
                            </w14:schemeClr>
                          </w14:solidFill>
                        </w14:textFill>
                      </w:rPr>
                      <w:t>)</w:t>
                    </w:r>
                  </w:p>
                </w:txbxContent>
              </v:textbox>
            </v:rect>
          </w:pict>
        </mc:Fallback>
      </mc:AlternateContent>
    </w:r>
    <w:r>
      <w:t xml:space="preserve"> </w:t>
    </w:r>
  </w:p>
  <w:p w14:paraId="0B18A6D1">
    <w:pPr>
      <w:pStyle w:val="8"/>
      <w:rPr>
        <w:color w:val="595959" w:themeColor="text1" w:themeTint="A6"/>
        <w14:textFill>
          <w14:solidFill>
            <w14:schemeClr w14:val="tx1">
              <w14:lumMod w14:val="65000"/>
              <w14:lumOff w14:val="35000"/>
            </w14:schemeClr>
          </w14:solidFill>
        </w14:textFill>
      </w:rPr>
    </w:pPr>
    <w:r>
      <w:rPr>
        <w:lang w:val="en-US"/>
      </w:rPr>
      <w:drawing>
        <wp:inline distT="0" distB="0" distL="0" distR="0">
          <wp:extent cx="434975" cy="431800"/>
          <wp:effectExtent l="0" t="0" r="3175" b="6350"/>
          <wp:docPr id="9" name="Picture 9" descr="D:\DEVORSHELLA\UNIGAL\PENELITIAN\jig\logo teknik 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DEVORSHELLA\UNIGAL\PENELITIAN\jig\logo teknik industri.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a:xfrm>
                    <a:off x="0" y="0"/>
                    <a:ext cx="435032" cy="432000"/>
                  </a:xfrm>
                  <a:prstGeom prst="rect">
                    <a:avLst/>
                  </a:prstGeom>
                  <a:noFill/>
                  <a:ln>
                    <a:noFill/>
                  </a:ln>
                </pic:spPr>
              </pic:pic>
            </a:graphicData>
          </a:graphic>
        </wp:inline>
      </w:drawing>
    </w:r>
    <w:r>
      <w:rPr>
        <w:lang w:val="en-US"/>
      </w:rPr>
      <w:drawing>
        <wp:inline distT="0" distB="0" distL="0" distR="0">
          <wp:extent cx="356235" cy="435610"/>
          <wp:effectExtent l="19050" t="0" r="5715" b="0"/>
          <wp:docPr id="2" name="Picture 2" descr="C:\Users\TU\AppData\Local\Microsoft\Windows\Temporary Internet Files\Content.Word\INTRIGA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U\AppData\Local\Microsoft\Windows\Temporary Internet Files\Content.Word\INTRIGA (1) (1).png"/>
                  <pic:cNvPicPr>
                    <a:picLocks noChangeAspect="1" noChangeArrowheads="1"/>
                  </pic:cNvPicPr>
                </pic:nvPicPr>
                <pic:blipFill>
                  <a:blip r:embed="rId3"/>
                  <a:srcRect/>
                  <a:stretch>
                    <a:fillRect/>
                  </a:stretch>
                </pic:blipFill>
                <pic:spPr>
                  <a:xfrm>
                    <a:off x="0" y="0"/>
                    <a:ext cx="356235" cy="435769"/>
                  </a:xfrm>
                  <a:prstGeom prst="rect">
                    <a:avLst/>
                  </a:prstGeom>
                  <a:noFill/>
                  <a:ln w="9525">
                    <a:noFill/>
                    <a:miter lim="800000"/>
                    <a:headEnd/>
                    <a:tailEnd/>
                  </a:ln>
                </pic:spPr>
              </pic:pic>
            </a:graphicData>
          </a:graphic>
        </wp:inline>
      </w:drawing>
    </w:r>
    <w:r>
      <w:tab/>
    </w:r>
    <w:r>
      <w:tab/>
    </w:r>
  </w:p>
  <w:p w14:paraId="1776FEFF">
    <w:pPr>
      <w:pStyle w:val="8"/>
      <w:rPr>
        <w:rFonts w:ascii="Times New Roman" w:hAnsi="Times New Roman" w:cs="Times New Roman"/>
        <w:sz w:val="20"/>
      </w:rPr>
    </w:pPr>
    <w:r>
      <w:ptab w:relativeTo="margin" w:alignment="center" w:leader="none"/>
    </w:r>
    <w:r>
      <w:t xml:space="preserve"> </w:t>
    </w:r>
    <w:r>
      <w:rPr>
        <w:rFonts w:ascii="Times New Roman" w:hAnsi="Times New Roman" w:cs="Times New Roman"/>
        <w:sz w:val="20"/>
      </w:rPr>
      <w:t xml:space="preserve"> </w:t>
    </w:r>
    <w:r>
      <w:rPr>
        <w:rFonts w:ascii="Times New Roman" w:hAnsi="Times New Roman" w:cs="Times New Roman"/>
        <w:sz w:val="20"/>
      </w:rP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97AD">
    <w:pPr>
      <w:pStyle w:val="8"/>
      <w:rPr>
        <w:color w:val="595959" w:themeColor="text1" w:themeTint="A6"/>
        <w14:textFill>
          <w14:solidFill>
            <w14:schemeClr w14:val="tx1">
              <w14:lumMod w14:val="65000"/>
              <w14:lumOff w14:val="35000"/>
            </w14:schemeClr>
          </w14:solidFill>
        </w14:textFill>
      </w:rPr>
    </w:pPr>
    <w:r>
      <w:rPr>
        <w:lang w:val="en-US"/>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6985</wp:posOffset>
              </wp:positionV>
              <wp:extent cx="3743325" cy="504825"/>
              <wp:effectExtent l="0" t="0" r="0" b="0"/>
              <wp:wrapNone/>
              <wp:docPr id="3" name="Rectangle 1"/>
              <wp:cNvGraphicFramePr/>
              <a:graphic xmlns:a="http://schemas.openxmlformats.org/drawingml/2006/main">
                <a:graphicData uri="http://schemas.microsoft.com/office/word/2010/wordprocessingShape">
                  <wps:wsp>
                    <wps:cNvSpPr/>
                    <wps:spPr>
                      <a:xfrm>
                        <a:off x="0" y="0"/>
                        <a:ext cx="3743325" cy="5048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1BD5091B">
                          <w:pPr>
                            <w:pStyle w:val="8"/>
                            <w:spacing w:line="276" w:lineRule="auto"/>
                            <w:jc w:val="right"/>
                            <w:rPr>
                              <w:rFonts w:ascii="Arial" w:hAnsi="Arial" w:cs="Arial"/>
                              <w:b/>
                              <w:color w:val="000000" w:themeColor="text1"/>
                              <w:spacing w:val="20"/>
                              <w:sz w:val="20"/>
                              <w14:textFill>
                                <w14:solidFill>
                                  <w14:schemeClr w14:val="tx1"/>
                                </w14:solidFill>
                              </w14:textFill>
                            </w:rPr>
                          </w:pPr>
                          <w:r>
                            <w:rPr>
                              <w:rFonts w:ascii="Arial" w:hAnsi="Arial" w:cs="Arial"/>
                              <w:b/>
                              <w:color w:val="000000" w:themeColor="text1"/>
                              <w:spacing w:val="20"/>
                              <w:sz w:val="20"/>
                              <w14:textFill>
                                <w14:solidFill>
                                  <w14:schemeClr w14:val="tx1"/>
                                </w14:solidFill>
                              </w14:textFill>
                            </w:rPr>
                            <w:t>JURNAL INDUSTRIAL GALUH</w:t>
                          </w:r>
                        </w:p>
                        <w:p w14:paraId="7FCD65A4">
                          <w:pPr>
                            <w:pStyle w:val="8"/>
                            <w:spacing w:line="276" w:lineRule="auto"/>
                            <w:jc w:val="right"/>
                            <w:rPr>
                              <w:rFonts w:ascii="Arial" w:hAnsi="Arial" w:cs="Arial"/>
                              <w:color w:val="808080" w:themeColor="text1" w:themeTint="80"/>
                              <w:sz w:val="20"/>
                              <w:lang w:val="id-ID"/>
                              <w14:textFill>
                                <w14:solidFill>
                                  <w14:schemeClr w14:val="tx1">
                                    <w14:lumMod w14:val="50000"/>
                                    <w14:lumOff w14:val="50000"/>
                                  </w14:schemeClr>
                                </w14:solidFill>
                              </w14:textFill>
                            </w:rPr>
                          </w:pPr>
                          <w:r>
                            <w:rPr>
                              <w:rFonts w:ascii="Arial" w:hAnsi="Arial" w:cs="Arial"/>
                              <w:color w:val="808080" w:themeColor="text1" w:themeTint="80"/>
                              <w:sz w:val="20"/>
                              <w:lang w:val="id-ID"/>
                              <w14:textFill>
                                <w14:solidFill>
                                  <w14:schemeClr w14:val="tx1">
                                    <w14:lumMod w14:val="50000"/>
                                    <w14:lumOff w14:val="50000"/>
                                  </w14:schemeClr>
                                </w14:solidFill>
                              </w14:textFill>
                            </w:rPr>
                            <w:t>(nama penulis pertama dan gelar)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top:0.55pt;height:39.75pt;width:294.75pt;mso-position-horizontal:right;mso-position-horizontal-relative:margin;z-index:251661312;v-text-anchor:middle;mso-width-relative:page;mso-height-relative:page;" filled="f" stroked="f" coordsize="21600,21600" o:gfxdata="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VeirVAAAABQEAAA8AAAAAAAAAAQAgAAAA&#10;IgAAAGRycy9kb3ducmV2LnhtbFBLAQIUABQAAAAIAIdO4kCR4bbvRwIAAJkEAAAOAAAAAAAAAAEA&#10;IAAAACQBAABkcnMvZTJvRG9jLnhtbFBLBQYAAAAABgAGAFkBAADdBQAAAAA=&#10;">
              <v:fill on="f" focussize="0,0"/>
              <v:stroke on="f" weight="2pt"/>
              <v:imagedata o:title=""/>
              <o:lock v:ext="edit" aspectratio="f"/>
              <v:textbox>
                <w:txbxContent>
                  <w:p w14:paraId="1BD5091B">
                    <w:pPr>
                      <w:pStyle w:val="8"/>
                      <w:spacing w:line="276" w:lineRule="auto"/>
                      <w:jc w:val="right"/>
                      <w:rPr>
                        <w:rFonts w:ascii="Arial" w:hAnsi="Arial" w:cs="Arial"/>
                        <w:b/>
                        <w:color w:val="000000" w:themeColor="text1"/>
                        <w:spacing w:val="20"/>
                        <w:sz w:val="20"/>
                        <w14:textFill>
                          <w14:solidFill>
                            <w14:schemeClr w14:val="tx1"/>
                          </w14:solidFill>
                        </w14:textFill>
                      </w:rPr>
                    </w:pPr>
                    <w:r>
                      <w:rPr>
                        <w:rFonts w:ascii="Arial" w:hAnsi="Arial" w:cs="Arial"/>
                        <w:b/>
                        <w:color w:val="000000" w:themeColor="text1"/>
                        <w:spacing w:val="20"/>
                        <w:sz w:val="20"/>
                        <w14:textFill>
                          <w14:solidFill>
                            <w14:schemeClr w14:val="tx1"/>
                          </w14:solidFill>
                        </w14:textFill>
                      </w:rPr>
                      <w:t>JURNAL INDUSTRIAL GALUH</w:t>
                    </w:r>
                  </w:p>
                  <w:p w14:paraId="7FCD65A4">
                    <w:pPr>
                      <w:pStyle w:val="8"/>
                      <w:spacing w:line="276" w:lineRule="auto"/>
                      <w:jc w:val="right"/>
                      <w:rPr>
                        <w:rFonts w:ascii="Arial" w:hAnsi="Arial" w:cs="Arial"/>
                        <w:color w:val="808080" w:themeColor="text1" w:themeTint="80"/>
                        <w:sz w:val="20"/>
                        <w:lang w:val="id-ID"/>
                        <w14:textFill>
                          <w14:solidFill>
                            <w14:schemeClr w14:val="tx1">
                              <w14:lumMod w14:val="50000"/>
                              <w14:lumOff w14:val="50000"/>
                            </w14:schemeClr>
                          </w14:solidFill>
                        </w14:textFill>
                      </w:rPr>
                    </w:pPr>
                    <w:r>
                      <w:rPr>
                        <w:rFonts w:ascii="Arial" w:hAnsi="Arial" w:cs="Arial"/>
                        <w:color w:val="808080" w:themeColor="text1" w:themeTint="80"/>
                        <w:sz w:val="20"/>
                        <w:lang w:val="id-ID"/>
                        <w14:textFill>
                          <w14:solidFill>
                            <w14:schemeClr w14:val="tx1">
                              <w14:lumMod w14:val="50000"/>
                              <w14:lumOff w14:val="50000"/>
                            </w14:schemeClr>
                          </w14:solidFill>
                        </w14:textFill>
                      </w:rPr>
                      <w:t>(nama penulis pertama dan gelar)</w:t>
                    </w:r>
                  </w:p>
                </w:txbxContent>
              </v:textbox>
            </v:rect>
          </w:pict>
        </mc:Fallback>
      </mc:AlternateContent>
    </w:r>
    <w:r>
      <w:t xml:space="preserve"> </w:t>
    </w:r>
    <w:r>
      <w:rPr>
        <w:lang w:val="en-US"/>
      </w:rPr>
      <w:drawing>
        <wp:inline distT="0" distB="0" distL="0" distR="0">
          <wp:extent cx="434975" cy="431800"/>
          <wp:effectExtent l="0" t="0" r="3175" b="6350"/>
          <wp:docPr id="4" name="Picture 4" descr="D:\DEVORSHELLA\UNIGAL\PENELITIAN\jig\logo teknik 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DEVORSHELLA\UNIGAL\PENELITIAN\jig\logo teknik industri.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a:xfrm>
                    <a:off x="0" y="0"/>
                    <a:ext cx="435032" cy="432000"/>
                  </a:xfrm>
                  <a:prstGeom prst="rect">
                    <a:avLst/>
                  </a:prstGeom>
                  <a:noFill/>
                  <a:ln>
                    <a:noFill/>
                  </a:ln>
                </pic:spPr>
              </pic:pic>
            </a:graphicData>
          </a:graphic>
        </wp:inline>
      </w:drawing>
    </w:r>
    <w:r>
      <w:rPr>
        <w:lang w:val="en-US"/>
      </w:rPr>
      <w:drawing>
        <wp:inline distT="0" distB="0" distL="0" distR="0">
          <wp:extent cx="431800" cy="431800"/>
          <wp:effectExtent l="0" t="0" r="6350" b="6350"/>
          <wp:docPr id="5" name="Picture 5" descr="D:\DEVORSHELLA\UNIGAL\PENELITIAN\jig\LOGO 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DEVORSHELLA\UNIGAL\PENELITIAN\jig\LOGO J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A0F96">
    <w:pPr>
      <w:pStyle w:val="8"/>
      <w:rPr>
        <w:color w:val="595959" w:themeColor="text1" w:themeTint="A6"/>
        <w14:textFill>
          <w14:solidFill>
            <w14:schemeClr w14:val="tx1">
              <w14:lumMod w14:val="65000"/>
              <w14:lumOff w14:val="35000"/>
            </w14:schemeClr>
          </w14:solidFill>
        </w14:textFill>
      </w:rPr>
    </w:pPr>
    <w:r>
      <w:rPr>
        <w:lang w:val="en-US"/>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6985</wp:posOffset>
              </wp:positionV>
              <wp:extent cx="3743325" cy="504825"/>
              <wp:effectExtent l="0" t="0" r="0" b="0"/>
              <wp:wrapNone/>
              <wp:docPr id="34" name="Rectangle 34"/>
              <wp:cNvGraphicFramePr/>
              <a:graphic xmlns:a="http://schemas.openxmlformats.org/drawingml/2006/main">
                <a:graphicData uri="http://schemas.microsoft.com/office/word/2010/wordprocessingShape">
                  <wps:wsp>
                    <wps:cNvSpPr/>
                    <wps:spPr>
                      <a:xfrm>
                        <a:off x="0" y="0"/>
                        <a:ext cx="3743325" cy="504825"/>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3D743589">
                          <w:pPr>
                            <w:pStyle w:val="8"/>
                            <w:spacing w:line="276" w:lineRule="auto"/>
                            <w:jc w:val="right"/>
                            <w:rPr>
                              <w:rFonts w:ascii="Arial" w:hAnsi="Arial" w:cs="Arial"/>
                              <w:b/>
                              <w:color w:val="000000" w:themeColor="text1"/>
                              <w:spacing w:val="20"/>
                              <w:sz w:val="20"/>
                              <w14:textFill>
                                <w14:solidFill>
                                  <w14:schemeClr w14:val="tx1"/>
                                </w14:solidFill>
                              </w14:textFill>
                            </w:rPr>
                          </w:pPr>
                          <w:r>
                            <w:rPr>
                              <w:rFonts w:ascii="Arial" w:hAnsi="Arial" w:cs="Arial"/>
                              <w:b/>
                              <w:color w:val="000000" w:themeColor="text1"/>
                              <w:spacing w:val="20"/>
                              <w:sz w:val="20"/>
                              <w14:textFill>
                                <w14:solidFill>
                                  <w14:schemeClr w14:val="tx1"/>
                                </w14:solidFill>
                              </w14:textFill>
                            </w:rPr>
                            <w:t>JURNAL INDUSTRIAL GALUH</w:t>
                          </w:r>
                        </w:p>
                        <w:p w14:paraId="3E59F65E">
                          <w:pPr>
                            <w:pStyle w:val="8"/>
                            <w:spacing w:line="276" w:lineRule="auto"/>
                            <w:jc w:val="right"/>
                            <w:rPr>
                              <w:rFonts w:ascii="Arial" w:hAnsi="Arial" w:cs="Arial"/>
                              <w:color w:val="808080" w:themeColor="text1" w:themeTint="80"/>
                              <w:sz w:val="20"/>
                              <w:lang w:val="id-ID"/>
                              <w14:textFill>
                                <w14:solidFill>
                                  <w14:schemeClr w14:val="tx1">
                                    <w14:lumMod w14:val="50000"/>
                                    <w14:lumOff w14:val="50000"/>
                                  </w14:schemeClr>
                                </w14:solidFill>
                              </w14:textFill>
                            </w:rPr>
                          </w:pPr>
                          <w:r>
                            <w:rPr>
                              <w:rFonts w:ascii="Arial" w:hAnsi="Arial" w:cs="Arial"/>
                              <w:color w:val="808080" w:themeColor="text1" w:themeTint="80"/>
                              <w:sz w:val="20"/>
                              <w:lang w:val="id-ID"/>
                              <w14:textFill>
                                <w14:solidFill>
                                  <w14:schemeClr w14:val="tx1">
                                    <w14:lumMod w14:val="50000"/>
                                    <w14:lumOff w14:val="50000"/>
                                  </w14:schemeClr>
                                </w14:solidFill>
                              </w14:textFill>
                            </w:rPr>
                            <w:t>(nama penulis pertama dan gelar)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0.55pt;height:39.75pt;width:294.75pt;mso-position-horizontal:right;mso-position-horizontal-relative:margin;z-index:251660288;v-text-anchor:middle;mso-width-relative:page;mso-height-relative:page;" filled="f" stroked="f" coordsize="21600,21600" o:gfxdata="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V6KtUAAAAFAQAADwAAAAAAAAABACAA&#10;AAAiAAAAZHJzL2Rvd25yZXYueG1sUEsBAhQAFAAAAAgAh07iQAklB4NJAgAAmwQAAA4AAAAAAAAA&#10;AQAgAAAAJAEAAGRycy9lMm9Eb2MueG1sUEsFBgAAAAAGAAYAWQEAAN8FAAAAAA==&#10;">
              <v:fill on="f" focussize="0,0"/>
              <v:stroke on="f" weight="2pt"/>
              <v:imagedata o:title=""/>
              <o:lock v:ext="edit" aspectratio="f"/>
              <v:textbox>
                <w:txbxContent>
                  <w:p w14:paraId="3D743589">
                    <w:pPr>
                      <w:pStyle w:val="8"/>
                      <w:spacing w:line="276" w:lineRule="auto"/>
                      <w:jc w:val="right"/>
                      <w:rPr>
                        <w:rFonts w:ascii="Arial" w:hAnsi="Arial" w:cs="Arial"/>
                        <w:b/>
                        <w:color w:val="000000" w:themeColor="text1"/>
                        <w:spacing w:val="20"/>
                        <w:sz w:val="20"/>
                        <w14:textFill>
                          <w14:solidFill>
                            <w14:schemeClr w14:val="tx1"/>
                          </w14:solidFill>
                        </w14:textFill>
                      </w:rPr>
                    </w:pPr>
                    <w:r>
                      <w:rPr>
                        <w:rFonts w:ascii="Arial" w:hAnsi="Arial" w:cs="Arial"/>
                        <w:b/>
                        <w:color w:val="000000" w:themeColor="text1"/>
                        <w:spacing w:val="20"/>
                        <w:sz w:val="20"/>
                        <w14:textFill>
                          <w14:solidFill>
                            <w14:schemeClr w14:val="tx1"/>
                          </w14:solidFill>
                        </w14:textFill>
                      </w:rPr>
                      <w:t>JURNAL INDUSTRIAL GALUH</w:t>
                    </w:r>
                  </w:p>
                  <w:p w14:paraId="3E59F65E">
                    <w:pPr>
                      <w:pStyle w:val="8"/>
                      <w:spacing w:line="276" w:lineRule="auto"/>
                      <w:jc w:val="right"/>
                      <w:rPr>
                        <w:rFonts w:ascii="Arial" w:hAnsi="Arial" w:cs="Arial"/>
                        <w:color w:val="808080" w:themeColor="text1" w:themeTint="80"/>
                        <w:sz w:val="20"/>
                        <w:lang w:val="id-ID"/>
                        <w14:textFill>
                          <w14:solidFill>
                            <w14:schemeClr w14:val="tx1">
                              <w14:lumMod w14:val="50000"/>
                              <w14:lumOff w14:val="50000"/>
                            </w14:schemeClr>
                          </w14:solidFill>
                        </w14:textFill>
                      </w:rPr>
                    </w:pPr>
                    <w:r>
                      <w:rPr>
                        <w:rFonts w:ascii="Arial" w:hAnsi="Arial" w:cs="Arial"/>
                        <w:color w:val="808080" w:themeColor="text1" w:themeTint="80"/>
                        <w:sz w:val="20"/>
                        <w:lang w:val="id-ID"/>
                        <w14:textFill>
                          <w14:solidFill>
                            <w14:schemeClr w14:val="tx1">
                              <w14:lumMod w14:val="50000"/>
                              <w14:lumOff w14:val="50000"/>
                            </w14:schemeClr>
                          </w14:solidFill>
                        </w14:textFill>
                      </w:rPr>
                      <w:t>(nama penulis pertama dan gelar)</w:t>
                    </w:r>
                  </w:p>
                </w:txbxContent>
              </v:textbox>
            </v:rect>
          </w:pict>
        </mc:Fallback>
      </mc:AlternateContent>
    </w:r>
    <w:r>
      <w:t xml:space="preserve"> </w:t>
    </w:r>
    <w:r>
      <w:rPr>
        <w:lang w:val="en-US"/>
      </w:rPr>
      <w:drawing>
        <wp:inline distT="0" distB="0" distL="0" distR="0">
          <wp:extent cx="434975" cy="431800"/>
          <wp:effectExtent l="0" t="0" r="3175" b="6350"/>
          <wp:docPr id="8" name="Picture 8" descr="D:\DEVORSHELLA\UNIGAL\PENELITIAN\jig\logo teknik 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DEVORSHELLA\UNIGAL\PENELITIAN\jig\logo teknik industri.jpg"/>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a:xfrm>
                    <a:off x="0" y="0"/>
                    <a:ext cx="435032" cy="432000"/>
                  </a:xfrm>
                  <a:prstGeom prst="rect">
                    <a:avLst/>
                  </a:prstGeom>
                  <a:noFill/>
                  <a:ln>
                    <a:noFill/>
                  </a:ln>
                </pic:spPr>
              </pic:pic>
            </a:graphicData>
          </a:graphic>
        </wp:inline>
      </w:drawing>
    </w:r>
    <w:r>
      <w:rPr>
        <w:lang w:val="en-US"/>
      </w:rPr>
      <w:drawing>
        <wp:inline distT="0" distB="0" distL="0" distR="0">
          <wp:extent cx="431800" cy="431800"/>
          <wp:effectExtent l="0" t="0" r="6350" b="6350"/>
          <wp:docPr id="13" name="Picture 13" descr="D:\DEVORSHELLA\UNIGAL\PENELITIAN\jig\LOGO 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DEVORSHELLA\UNIGAL\PENELITIAN\jig\LOGO J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432000" cy="432000"/>
                  </a:xfrm>
                  <a:prstGeom prst="rect">
                    <a:avLst/>
                  </a:prstGeom>
                  <a:noFill/>
                  <a:ln>
                    <a:noFill/>
                  </a:ln>
                </pic:spPr>
              </pic:pic>
            </a:graphicData>
          </a:graphic>
        </wp:inline>
      </w:drawing>
    </w:r>
    <w:r>
      <w:tab/>
    </w:r>
    <w:r>
      <w:tab/>
    </w:r>
  </w:p>
  <w:p w14:paraId="272D02E6">
    <w:pPr>
      <w:pStyle w:val="8"/>
      <w:rPr>
        <w:rFonts w:ascii="Times New Roman" w:hAnsi="Times New Roman" w:cs="Times New Roman"/>
        <w:sz w:val="20"/>
      </w:rPr>
    </w:pPr>
    <w:r>
      <w:ptab w:relativeTo="margin" w:alignment="center" w:leader="none"/>
    </w:r>
    <w:r>
      <w:t xml:space="preserve"> </w:t>
    </w:r>
    <w:r>
      <w:rPr>
        <w:rFonts w:ascii="Times New Roman" w:hAnsi="Times New Roman" w:cs="Times New Roman"/>
        <w:sz w:val="20"/>
      </w:rPr>
      <w:t xml:space="preserve"> </w:t>
    </w:r>
    <w:r>
      <w:rPr>
        <w:rFonts w:ascii="Times New Roman" w:hAnsi="Times New Roman" w:cs="Times New Roman"/>
        <w:sz w:val="20"/>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797348"/>
    <w:multiLevelType w:val="multilevel"/>
    <w:tmpl w:val="B9797348"/>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00"/>
        </w:tabs>
        <w:ind w:left="2880" w:hanging="360"/>
      </w:pPr>
      <w:rPr>
        <w:sz w:val="24"/>
        <w:szCs w:val="24"/>
      </w:rPr>
    </w:lvl>
    <w:lvl w:ilvl="4" w:tentative="0">
      <w:start w:val="1"/>
      <w:numFmt w:val="decimal"/>
      <w:lvlText w:val="%5."/>
      <w:lvlJc w:val="left"/>
      <w:pPr>
        <w:tabs>
          <w:tab w:val="left" w:pos="3220"/>
        </w:tabs>
        <w:ind w:left="3600" w:hanging="360"/>
      </w:pPr>
      <w:rPr>
        <w:sz w:val="24"/>
        <w:szCs w:val="24"/>
      </w:rPr>
    </w:lvl>
    <w:lvl w:ilvl="5" w:tentative="0">
      <w:start w:val="1"/>
      <w:numFmt w:val="decimal"/>
      <w:lvlText w:val="%6."/>
      <w:lvlJc w:val="left"/>
      <w:pPr>
        <w:tabs>
          <w:tab w:val="left" w:pos="3940"/>
        </w:tabs>
        <w:ind w:left="4320" w:hanging="360"/>
      </w:pPr>
      <w:rPr>
        <w:sz w:val="24"/>
        <w:szCs w:val="24"/>
      </w:rPr>
    </w:lvl>
    <w:lvl w:ilvl="6" w:tentative="0">
      <w:start w:val="1"/>
      <w:numFmt w:val="decimal"/>
      <w:lvlText w:val="%7."/>
      <w:lvlJc w:val="left"/>
      <w:pPr>
        <w:tabs>
          <w:tab w:val="left" w:pos="4660"/>
        </w:tabs>
        <w:ind w:left="5040" w:hanging="360"/>
      </w:pPr>
      <w:rPr>
        <w:sz w:val="24"/>
        <w:szCs w:val="24"/>
      </w:rPr>
    </w:lvl>
    <w:lvl w:ilvl="7" w:tentative="0">
      <w:start w:val="1"/>
      <w:numFmt w:val="decimal"/>
      <w:lvlText w:val="%8."/>
      <w:lvlJc w:val="left"/>
      <w:pPr>
        <w:tabs>
          <w:tab w:val="left" w:pos="5380"/>
        </w:tabs>
        <w:ind w:left="5760" w:hanging="360"/>
      </w:pPr>
      <w:rPr>
        <w:sz w:val="24"/>
        <w:szCs w:val="24"/>
      </w:rPr>
    </w:lvl>
    <w:lvl w:ilvl="8" w:tentative="0">
      <w:start w:val="1"/>
      <w:numFmt w:val="decimal"/>
      <w:lvlText w:val="%9."/>
      <w:lvlJc w:val="left"/>
      <w:pPr>
        <w:tabs>
          <w:tab w:val="left" w:pos="6100"/>
        </w:tabs>
        <w:ind w:left="6480" w:hanging="360"/>
      </w:pPr>
      <w:rPr>
        <w:sz w:val="24"/>
        <w:szCs w:val="24"/>
      </w:rPr>
    </w:lvl>
  </w:abstractNum>
  <w:abstractNum w:abstractNumId="1">
    <w:nsid w:val="023E2E4D"/>
    <w:multiLevelType w:val="multilevel"/>
    <w:tmpl w:val="023E2E4D"/>
    <w:lvl w:ilvl="0" w:tentative="0">
      <w:start w:val="4"/>
      <w:numFmt w:val="upperRoman"/>
      <w:pStyle w:val="33"/>
      <w:lvlText w:val="%1."/>
      <w:lvlJc w:val="left"/>
      <w:pPr>
        <w:tabs>
          <w:tab w:val="left" w:pos="1548"/>
        </w:tabs>
        <w:ind w:left="1548" w:hanging="288"/>
      </w:pPr>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rPr>
    </w:lvl>
    <w:lvl w:ilvl="1" w:tentative="0">
      <w:start w:val="1"/>
      <w:numFmt w:val="upperLetter"/>
      <w:lvlText w:val="%2."/>
      <w:lvlJc w:val="left"/>
      <w:pPr>
        <w:tabs>
          <w:tab w:val="left" w:pos="1548"/>
        </w:tabs>
        <w:ind w:left="1548" w:hanging="288"/>
      </w:pPr>
      <w:rPr>
        <w:rFonts w:hint="default" w:ascii="Times New Roman" w:hAnsi="Times New Roman"/>
        <w:b w:val="0"/>
        <w:i w:val="0"/>
        <w:sz w:val="20"/>
      </w:rPr>
    </w:lvl>
    <w:lvl w:ilvl="2" w:tentative="0">
      <w:start w:val="1"/>
      <w:numFmt w:val="decimal"/>
      <w:lvlText w:val="%1.%2.%3"/>
      <w:lvlJc w:val="left"/>
      <w:pPr>
        <w:tabs>
          <w:tab w:val="left" w:pos="1980"/>
        </w:tabs>
        <w:ind w:left="1980" w:hanging="720"/>
      </w:pPr>
      <w:rPr>
        <w:rFonts w:hint="default"/>
      </w:rPr>
    </w:lvl>
    <w:lvl w:ilvl="3" w:tentative="0">
      <w:start w:val="1"/>
      <w:numFmt w:val="decimal"/>
      <w:lvlText w:val="%1.%2.%3.%4"/>
      <w:lvlJc w:val="left"/>
      <w:pPr>
        <w:tabs>
          <w:tab w:val="left" w:pos="2124"/>
        </w:tabs>
        <w:ind w:left="2124" w:hanging="864"/>
      </w:pPr>
      <w:rPr>
        <w:rFonts w:hint="default"/>
      </w:rPr>
    </w:lvl>
    <w:lvl w:ilvl="4" w:tentative="0">
      <w:start w:val="1"/>
      <w:numFmt w:val="decimal"/>
      <w:lvlText w:val="%1.%2.%3.%4.%5"/>
      <w:lvlJc w:val="left"/>
      <w:pPr>
        <w:tabs>
          <w:tab w:val="left" w:pos="2268"/>
        </w:tabs>
        <w:ind w:left="2268" w:hanging="1008"/>
      </w:pPr>
      <w:rPr>
        <w:rFonts w:hint="default"/>
      </w:rPr>
    </w:lvl>
    <w:lvl w:ilvl="5" w:tentative="0">
      <w:start w:val="1"/>
      <w:numFmt w:val="decimal"/>
      <w:lvlText w:val="%1.%2.%3.%4.%5.%6"/>
      <w:lvlJc w:val="left"/>
      <w:pPr>
        <w:tabs>
          <w:tab w:val="left" w:pos="2412"/>
        </w:tabs>
        <w:ind w:left="2412" w:hanging="1152"/>
      </w:pPr>
      <w:rPr>
        <w:rFonts w:hint="default"/>
      </w:rPr>
    </w:lvl>
    <w:lvl w:ilvl="6" w:tentative="0">
      <w:start w:val="1"/>
      <w:numFmt w:val="decimal"/>
      <w:lvlText w:val="%1.%2.%3.%4.%5.%6.%7"/>
      <w:lvlJc w:val="left"/>
      <w:pPr>
        <w:tabs>
          <w:tab w:val="left" w:pos="2556"/>
        </w:tabs>
        <w:ind w:left="2556" w:hanging="1296"/>
      </w:pPr>
      <w:rPr>
        <w:rFonts w:hint="default"/>
      </w:rPr>
    </w:lvl>
    <w:lvl w:ilvl="7" w:tentative="0">
      <w:start w:val="1"/>
      <w:numFmt w:val="decimal"/>
      <w:lvlText w:val="%1.%2.%3.%4.%5.%6.%7.%8"/>
      <w:lvlJc w:val="left"/>
      <w:pPr>
        <w:tabs>
          <w:tab w:val="left" w:pos="2700"/>
        </w:tabs>
        <w:ind w:left="2700" w:hanging="1440"/>
      </w:pPr>
      <w:rPr>
        <w:rFonts w:hint="default"/>
      </w:rPr>
    </w:lvl>
    <w:lvl w:ilvl="8" w:tentative="0">
      <w:start w:val="1"/>
      <w:numFmt w:val="decimal"/>
      <w:lvlText w:val="%1.%2.%3.%4.%5.%6.%7.%8.%9"/>
      <w:lvlJc w:val="left"/>
      <w:pPr>
        <w:tabs>
          <w:tab w:val="left" w:pos="2844"/>
        </w:tabs>
        <w:ind w:left="2844" w:hanging="1584"/>
      </w:pPr>
      <w:rPr>
        <w:rFonts w:hint="default"/>
      </w:rPr>
    </w:lvl>
  </w:abstractNum>
  <w:abstractNum w:abstractNumId="2">
    <w:nsid w:val="0CE1331F"/>
    <w:multiLevelType w:val="multilevel"/>
    <w:tmpl w:val="0CE1331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27633C4F"/>
    <w:multiLevelType w:val="multilevel"/>
    <w:tmpl w:val="27633C4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86577EF"/>
    <w:multiLevelType w:val="multilevel"/>
    <w:tmpl w:val="286577E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B855861"/>
    <w:multiLevelType w:val="multilevel"/>
    <w:tmpl w:val="2B855861"/>
    <w:lvl w:ilvl="0" w:tentative="0">
      <w:start w:val="1"/>
      <w:numFmt w:val="decimal"/>
      <w:pStyle w:val="39"/>
      <w:lvlText w:val="%1."/>
      <w:lvlJc w:val="left"/>
      <w:pPr>
        <w:ind w:left="360" w:hanging="360"/>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pStyle w:val="3"/>
      <w:lvlText w:val="%3)"/>
      <w:lvlJc w:val="left"/>
      <w:pPr>
        <w:tabs>
          <w:tab w:val="left" w:pos="360"/>
        </w:tabs>
        <w:ind w:left="360" w:hanging="36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6">
    <w:nsid w:val="45F05B5F"/>
    <w:multiLevelType w:val="multilevel"/>
    <w:tmpl w:val="45F05B5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4EAE2F21"/>
    <w:multiLevelType w:val="multilevel"/>
    <w:tmpl w:val="4EAE2F2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50232215"/>
    <w:multiLevelType w:val="multilevel"/>
    <w:tmpl w:val="50232215"/>
    <w:lvl w:ilvl="0" w:tentative="0">
      <w:start w:val="1"/>
      <w:numFmt w:val="upperLetter"/>
      <w:pStyle w:val="31"/>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9">
    <w:nsid w:val="6A7F4B21"/>
    <w:multiLevelType w:val="multilevel"/>
    <w:tmpl w:val="6A7F4B21"/>
    <w:lvl w:ilvl="0" w:tentative="0">
      <w:start w:val="1"/>
      <w:numFmt w:val="decimal"/>
      <w:pStyle w:val="34"/>
      <w:suff w:val="nothing"/>
      <w:lvlText w:val="%1)  "/>
      <w:lvlJc w:val="left"/>
      <w:pPr>
        <w:ind w:left="0" w:firstLine="0"/>
      </w:pPr>
      <w:rPr>
        <w:rFonts w:hint="default"/>
        <w:i/>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num w:numId="1">
    <w:abstractNumId w:val="5"/>
  </w:num>
  <w:num w:numId="2">
    <w:abstractNumId w:val="8"/>
  </w:num>
  <w:num w:numId="3">
    <w:abstractNumId w:val="1"/>
  </w:num>
  <w:num w:numId="4">
    <w:abstractNumId w:val="9"/>
  </w:num>
  <w:num w:numId="5">
    <w:abstractNumId w:val="2"/>
  </w:num>
  <w:num w:numId="6">
    <w:abstractNumId w:val="7"/>
  </w:num>
  <w:num w:numId="7">
    <w:abstractNumId w:val="6"/>
  </w:num>
  <w:num w:numId="8">
    <w:abstractNumId w:val="4"/>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removePersonalInformation/>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yNTS0MDO3MDIwNTVX0lEKTi0uzszPAykwrQUAui6JQiwAAAA="/>
  </w:docVars>
  <w:rsids>
    <w:rsidRoot w:val="006B6471"/>
    <w:rsid w:val="00005125"/>
    <w:rsid w:val="000062D4"/>
    <w:rsid w:val="00026A70"/>
    <w:rsid w:val="00026A87"/>
    <w:rsid w:val="00033D23"/>
    <w:rsid w:val="00050C74"/>
    <w:rsid w:val="0005705B"/>
    <w:rsid w:val="0006499A"/>
    <w:rsid w:val="000773CD"/>
    <w:rsid w:val="00080992"/>
    <w:rsid w:val="00084E1F"/>
    <w:rsid w:val="000A0A2B"/>
    <w:rsid w:val="000B0D41"/>
    <w:rsid w:val="000B10B5"/>
    <w:rsid w:val="000C0E5A"/>
    <w:rsid w:val="000C3397"/>
    <w:rsid w:val="000C553F"/>
    <w:rsid w:val="000C6EF3"/>
    <w:rsid w:val="000D7432"/>
    <w:rsid w:val="000E7507"/>
    <w:rsid w:val="000F54B3"/>
    <w:rsid w:val="00103944"/>
    <w:rsid w:val="001322B5"/>
    <w:rsid w:val="001424C0"/>
    <w:rsid w:val="00155007"/>
    <w:rsid w:val="00157640"/>
    <w:rsid w:val="0016274F"/>
    <w:rsid w:val="001706D0"/>
    <w:rsid w:val="001854FA"/>
    <w:rsid w:val="001951C4"/>
    <w:rsid w:val="002004DA"/>
    <w:rsid w:val="00215A42"/>
    <w:rsid w:val="00227DB4"/>
    <w:rsid w:val="00250A1E"/>
    <w:rsid w:val="0026727A"/>
    <w:rsid w:val="00271783"/>
    <w:rsid w:val="00275C49"/>
    <w:rsid w:val="00276E0C"/>
    <w:rsid w:val="002942B9"/>
    <w:rsid w:val="00295112"/>
    <w:rsid w:val="00297473"/>
    <w:rsid w:val="002A52CD"/>
    <w:rsid w:val="002A5BFB"/>
    <w:rsid w:val="002C60A2"/>
    <w:rsid w:val="002C6D9D"/>
    <w:rsid w:val="002F663B"/>
    <w:rsid w:val="00300788"/>
    <w:rsid w:val="003044BD"/>
    <w:rsid w:val="00305173"/>
    <w:rsid w:val="00312673"/>
    <w:rsid w:val="00325F54"/>
    <w:rsid w:val="003348DA"/>
    <w:rsid w:val="003428A7"/>
    <w:rsid w:val="00343AAC"/>
    <w:rsid w:val="00350F69"/>
    <w:rsid w:val="00356613"/>
    <w:rsid w:val="00357356"/>
    <w:rsid w:val="00363D70"/>
    <w:rsid w:val="00364899"/>
    <w:rsid w:val="00374FE1"/>
    <w:rsid w:val="00380781"/>
    <w:rsid w:val="00382972"/>
    <w:rsid w:val="003B0B4E"/>
    <w:rsid w:val="003B5057"/>
    <w:rsid w:val="003D2015"/>
    <w:rsid w:val="003F205B"/>
    <w:rsid w:val="003F2D94"/>
    <w:rsid w:val="003F3454"/>
    <w:rsid w:val="00450342"/>
    <w:rsid w:val="00463BFC"/>
    <w:rsid w:val="004718EB"/>
    <w:rsid w:val="00483072"/>
    <w:rsid w:val="004847FB"/>
    <w:rsid w:val="00485C46"/>
    <w:rsid w:val="0049494F"/>
    <w:rsid w:val="004A0C4E"/>
    <w:rsid w:val="004A6314"/>
    <w:rsid w:val="004C3FBE"/>
    <w:rsid w:val="004C5DF2"/>
    <w:rsid w:val="004E17C9"/>
    <w:rsid w:val="00500DAC"/>
    <w:rsid w:val="00530976"/>
    <w:rsid w:val="00540397"/>
    <w:rsid w:val="005562B1"/>
    <w:rsid w:val="00584A5E"/>
    <w:rsid w:val="0059460D"/>
    <w:rsid w:val="00595F26"/>
    <w:rsid w:val="005A10DA"/>
    <w:rsid w:val="005A1FD8"/>
    <w:rsid w:val="005A21B2"/>
    <w:rsid w:val="005A50C3"/>
    <w:rsid w:val="005C2D77"/>
    <w:rsid w:val="005C6128"/>
    <w:rsid w:val="005D39E2"/>
    <w:rsid w:val="005D4FB1"/>
    <w:rsid w:val="005D6E9A"/>
    <w:rsid w:val="005E28B5"/>
    <w:rsid w:val="005E3426"/>
    <w:rsid w:val="005E59B7"/>
    <w:rsid w:val="005F545E"/>
    <w:rsid w:val="00601877"/>
    <w:rsid w:val="00604D6A"/>
    <w:rsid w:val="00624A5E"/>
    <w:rsid w:val="006303CC"/>
    <w:rsid w:val="00636C45"/>
    <w:rsid w:val="00656189"/>
    <w:rsid w:val="0065660E"/>
    <w:rsid w:val="00676708"/>
    <w:rsid w:val="006B0D45"/>
    <w:rsid w:val="006B6471"/>
    <w:rsid w:val="006C1EBE"/>
    <w:rsid w:val="006E1698"/>
    <w:rsid w:val="006E5830"/>
    <w:rsid w:val="006F00BC"/>
    <w:rsid w:val="0070172C"/>
    <w:rsid w:val="00701FC5"/>
    <w:rsid w:val="00741818"/>
    <w:rsid w:val="00741CD8"/>
    <w:rsid w:val="00742A5E"/>
    <w:rsid w:val="00745782"/>
    <w:rsid w:val="00750CC7"/>
    <w:rsid w:val="00761EE6"/>
    <w:rsid w:val="00762FF8"/>
    <w:rsid w:val="00766992"/>
    <w:rsid w:val="00782B9A"/>
    <w:rsid w:val="00785680"/>
    <w:rsid w:val="007A02F9"/>
    <w:rsid w:val="007A28B6"/>
    <w:rsid w:val="007A7893"/>
    <w:rsid w:val="007B5743"/>
    <w:rsid w:val="007C24B5"/>
    <w:rsid w:val="007C621A"/>
    <w:rsid w:val="007F4312"/>
    <w:rsid w:val="007F4338"/>
    <w:rsid w:val="007F5765"/>
    <w:rsid w:val="007F72F3"/>
    <w:rsid w:val="007F7D4E"/>
    <w:rsid w:val="00800EDE"/>
    <w:rsid w:val="00821344"/>
    <w:rsid w:val="00822785"/>
    <w:rsid w:val="008248FE"/>
    <w:rsid w:val="00843398"/>
    <w:rsid w:val="00844FF0"/>
    <w:rsid w:val="008607B1"/>
    <w:rsid w:val="00865D6C"/>
    <w:rsid w:val="00877B7B"/>
    <w:rsid w:val="008905E5"/>
    <w:rsid w:val="0089290B"/>
    <w:rsid w:val="008B52B6"/>
    <w:rsid w:val="008B7A20"/>
    <w:rsid w:val="008C4A77"/>
    <w:rsid w:val="008E753A"/>
    <w:rsid w:val="00931E4B"/>
    <w:rsid w:val="0093703D"/>
    <w:rsid w:val="00945C12"/>
    <w:rsid w:val="009740E1"/>
    <w:rsid w:val="009C7EB6"/>
    <w:rsid w:val="009E03CE"/>
    <w:rsid w:val="009E3CAF"/>
    <w:rsid w:val="009E492B"/>
    <w:rsid w:val="009E784D"/>
    <w:rsid w:val="00A1230B"/>
    <w:rsid w:val="00A12AA8"/>
    <w:rsid w:val="00A37124"/>
    <w:rsid w:val="00A70AFE"/>
    <w:rsid w:val="00AA3B41"/>
    <w:rsid w:val="00AA5AD7"/>
    <w:rsid w:val="00AB437F"/>
    <w:rsid w:val="00AD2B65"/>
    <w:rsid w:val="00AD68A5"/>
    <w:rsid w:val="00AF2224"/>
    <w:rsid w:val="00AF4C40"/>
    <w:rsid w:val="00B20EBC"/>
    <w:rsid w:val="00B24C0B"/>
    <w:rsid w:val="00B51325"/>
    <w:rsid w:val="00B555D7"/>
    <w:rsid w:val="00B763FF"/>
    <w:rsid w:val="00B8047B"/>
    <w:rsid w:val="00B82600"/>
    <w:rsid w:val="00B91CCD"/>
    <w:rsid w:val="00B925E0"/>
    <w:rsid w:val="00BA47F0"/>
    <w:rsid w:val="00BA5467"/>
    <w:rsid w:val="00BC6742"/>
    <w:rsid w:val="00BF0E5D"/>
    <w:rsid w:val="00BF158E"/>
    <w:rsid w:val="00BF78DE"/>
    <w:rsid w:val="00C05534"/>
    <w:rsid w:val="00C07E1A"/>
    <w:rsid w:val="00C10CE4"/>
    <w:rsid w:val="00C20309"/>
    <w:rsid w:val="00C25F86"/>
    <w:rsid w:val="00C3085D"/>
    <w:rsid w:val="00C31FF1"/>
    <w:rsid w:val="00C3791B"/>
    <w:rsid w:val="00C47A4A"/>
    <w:rsid w:val="00C6071B"/>
    <w:rsid w:val="00C659B5"/>
    <w:rsid w:val="00C66808"/>
    <w:rsid w:val="00C67038"/>
    <w:rsid w:val="00CA5A64"/>
    <w:rsid w:val="00CC6E8A"/>
    <w:rsid w:val="00CE4E90"/>
    <w:rsid w:val="00CE55EC"/>
    <w:rsid w:val="00CE7A14"/>
    <w:rsid w:val="00CF5C8E"/>
    <w:rsid w:val="00D2421F"/>
    <w:rsid w:val="00D25F5D"/>
    <w:rsid w:val="00D276E8"/>
    <w:rsid w:val="00D5083D"/>
    <w:rsid w:val="00D65176"/>
    <w:rsid w:val="00D73998"/>
    <w:rsid w:val="00D76FE9"/>
    <w:rsid w:val="00D9218A"/>
    <w:rsid w:val="00D93E2E"/>
    <w:rsid w:val="00D93F71"/>
    <w:rsid w:val="00D96DCC"/>
    <w:rsid w:val="00DA0B76"/>
    <w:rsid w:val="00DA47E8"/>
    <w:rsid w:val="00DC2A2B"/>
    <w:rsid w:val="00DC735D"/>
    <w:rsid w:val="00DD7D8F"/>
    <w:rsid w:val="00E01EF6"/>
    <w:rsid w:val="00E13BC9"/>
    <w:rsid w:val="00E14072"/>
    <w:rsid w:val="00E25E98"/>
    <w:rsid w:val="00E447E9"/>
    <w:rsid w:val="00E45BE9"/>
    <w:rsid w:val="00E54862"/>
    <w:rsid w:val="00E55AF7"/>
    <w:rsid w:val="00E61903"/>
    <w:rsid w:val="00E80FBC"/>
    <w:rsid w:val="00E92F6B"/>
    <w:rsid w:val="00EA608D"/>
    <w:rsid w:val="00EB3C4D"/>
    <w:rsid w:val="00EB4163"/>
    <w:rsid w:val="00EB446E"/>
    <w:rsid w:val="00EC3AF1"/>
    <w:rsid w:val="00EC771F"/>
    <w:rsid w:val="00ED2CDC"/>
    <w:rsid w:val="00EE1D75"/>
    <w:rsid w:val="00EF4E6D"/>
    <w:rsid w:val="00F00607"/>
    <w:rsid w:val="00F13DEB"/>
    <w:rsid w:val="00F17087"/>
    <w:rsid w:val="00F4305B"/>
    <w:rsid w:val="00F47428"/>
    <w:rsid w:val="00F60819"/>
    <w:rsid w:val="00F77986"/>
    <w:rsid w:val="00F94E49"/>
    <w:rsid w:val="00FA0D69"/>
    <w:rsid w:val="00FA4D1B"/>
    <w:rsid w:val="00FA57B5"/>
    <w:rsid w:val="00FB3A4C"/>
    <w:rsid w:val="00FB7F2E"/>
    <w:rsid w:val="00FC4CBD"/>
    <w:rsid w:val="00FC5852"/>
    <w:rsid w:val="00FD2ABA"/>
    <w:rsid w:val="00FF1D4B"/>
    <w:rsid w:val="00FF295A"/>
    <w:rsid w:val="00FF3CDE"/>
    <w:rsid w:val="1911682C"/>
    <w:rsid w:val="337F77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qFormat="1" w:unhideWhenUsed="0" w:uiPriority="61" w:semiHidden="0" w:name="Light List"/>
    <w:lsdException w:unhideWhenUsed="0" w:uiPriority="62" w:semiHidden="0" w:name="Light Grid"/>
    <w:lsdException w:unhideWhenUsed="0" w:uiPriority="63" w:semiHidden="0" w:name="Medium Shading 1"/>
    <w:lsdException w:qFormat="1"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qFormat="1"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qFormat="1" w:unhideWhenUsed="0" w:uiPriority="62" w:semiHidden="0" w:name="Light Grid Accent 2"/>
    <w:lsdException w:qFormat="1"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AU" w:eastAsia="en-US"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basedOn w:val="1"/>
    <w:next w:val="1"/>
    <w:link w:val="30"/>
    <w:qFormat/>
    <w:uiPriority w:val="0"/>
    <w:pPr>
      <w:keepNext/>
      <w:numPr>
        <w:ilvl w:val="2"/>
        <w:numId w:val="1"/>
      </w:numPr>
      <w:spacing w:before="240" w:after="60" w:line="240" w:lineRule="auto"/>
      <w:outlineLvl w:val="2"/>
    </w:pPr>
    <w:rPr>
      <w:rFonts w:ascii="Arial" w:hAnsi="Arial" w:eastAsia="SimSun" w:cs="Arial"/>
      <w:b/>
      <w:bCs/>
      <w:sz w:val="26"/>
      <w:szCs w:val="26"/>
      <w:lang w:eastAsia="zh-CN"/>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6"/>
    <w:semiHidden/>
    <w:unhideWhenUsed/>
    <w:qFormat/>
    <w:uiPriority w:val="99"/>
    <w:pPr>
      <w:spacing w:after="0" w:line="240" w:lineRule="auto"/>
    </w:pPr>
    <w:rPr>
      <w:rFonts w:ascii="Tahoma" w:hAnsi="Tahoma" w:cs="Tahoma"/>
      <w:sz w:val="16"/>
      <w:szCs w:val="16"/>
    </w:rPr>
  </w:style>
  <w:style w:type="paragraph" w:styleId="7">
    <w:name w:val="footer"/>
    <w:basedOn w:val="1"/>
    <w:link w:val="15"/>
    <w:unhideWhenUsed/>
    <w:qFormat/>
    <w:uiPriority w:val="99"/>
    <w:pPr>
      <w:tabs>
        <w:tab w:val="center" w:pos="4513"/>
        <w:tab w:val="right" w:pos="9026"/>
      </w:tabs>
      <w:spacing w:after="0" w:line="240" w:lineRule="auto"/>
    </w:pPr>
  </w:style>
  <w:style w:type="paragraph" w:styleId="8">
    <w:name w:val="header"/>
    <w:basedOn w:val="1"/>
    <w:link w:val="14"/>
    <w:unhideWhenUsed/>
    <w:qFormat/>
    <w:uiPriority w:val="99"/>
    <w:pPr>
      <w:tabs>
        <w:tab w:val="center" w:pos="4513"/>
        <w:tab w:val="right" w:pos="9026"/>
      </w:tabs>
      <w:spacing w:after="0" w:line="240" w:lineRule="auto"/>
    </w:pPr>
  </w:style>
  <w:style w:type="character" w:styleId="9">
    <w:name w:val="Hyperlink"/>
    <w:basedOn w:val="4"/>
    <w:unhideWhenUsed/>
    <w:qFormat/>
    <w:uiPriority w:val="99"/>
    <w:rPr>
      <w:color w:val="0000FF" w:themeColor="hyperlink"/>
      <w:u w:val="single"/>
      <w14:textFill>
        <w14:solidFill>
          <w14:schemeClr w14:val="hlink"/>
        </w14:solidFill>
      </w14:textFill>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11">
    <w:name w:val="Strong"/>
    <w:basedOn w:val="4"/>
    <w:qFormat/>
    <w:uiPriority w:val="0"/>
    <w:rPr>
      <w:b/>
      <w:bCs/>
    </w:rPr>
  </w:style>
  <w:style w:type="table" w:styleId="12">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Title"/>
    <w:basedOn w:val="1"/>
    <w:next w:val="1"/>
    <w:link w:val="20"/>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4">
    <w:name w:val="Header Char"/>
    <w:basedOn w:val="4"/>
    <w:link w:val="8"/>
    <w:qFormat/>
    <w:uiPriority w:val="99"/>
  </w:style>
  <w:style w:type="character" w:customStyle="1" w:styleId="15">
    <w:name w:val="Footer Char"/>
    <w:basedOn w:val="4"/>
    <w:link w:val="7"/>
    <w:qFormat/>
    <w:uiPriority w:val="99"/>
  </w:style>
  <w:style w:type="character" w:customStyle="1" w:styleId="16">
    <w:name w:val="Balloon Text Char"/>
    <w:basedOn w:val="4"/>
    <w:link w:val="6"/>
    <w:semiHidden/>
    <w:qFormat/>
    <w:uiPriority w:val="99"/>
    <w:rPr>
      <w:rFonts w:ascii="Tahoma" w:hAnsi="Tahoma" w:cs="Tahoma"/>
      <w:sz w:val="16"/>
      <w:szCs w:val="16"/>
    </w:rPr>
  </w:style>
  <w:style w:type="paragraph" w:customStyle="1" w:styleId="17">
    <w:name w:val="[Basic Paragraph]"/>
    <w:basedOn w:val="1"/>
    <w:qFormat/>
    <w:uiPriority w:val="99"/>
    <w:pPr>
      <w:autoSpaceDE w:val="0"/>
      <w:autoSpaceDN w:val="0"/>
      <w:adjustRightInd w:val="0"/>
      <w:spacing w:after="0" w:line="288" w:lineRule="auto"/>
    </w:pPr>
    <w:rPr>
      <w:rFonts w:ascii="Book Antiqua" w:hAnsi="Book Antiqua" w:eastAsia="Calibri" w:cs="Book Antiqua"/>
      <w:color w:val="000000"/>
      <w:sz w:val="20"/>
      <w:szCs w:val="20"/>
      <w:lang w:val="en-GB"/>
    </w:rPr>
  </w:style>
  <w:style w:type="character" w:customStyle="1" w:styleId="18">
    <w:name w:val="A2"/>
    <w:qFormat/>
    <w:uiPriority w:val="99"/>
    <w:rPr>
      <w:b/>
      <w:bCs/>
      <w:color w:val="000000"/>
      <w:sz w:val="22"/>
      <w:szCs w:val="22"/>
    </w:rPr>
  </w:style>
  <w:style w:type="paragraph" w:styleId="19">
    <w:name w:val="List Paragraph"/>
    <w:basedOn w:val="1"/>
    <w:qFormat/>
    <w:uiPriority w:val="34"/>
    <w:pPr>
      <w:ind w:left="720"/>
      <w:contextualSpacing/>
    </w:pPr>
    <w:rPr>
      <w:lang w:val="id-ID"/>
    </w:rPr>
  </w:style>
  <w:style w:type="character" w:customStyle="1" w:styleId="20">
    <w:name w:val="Title Char"/>
    <w:basedOn w:val="4"/>
    <w:link w:val="13"/>
    <w:qFormat/>
    <w:uiPriority w:val="10"/>
    <w:rPr>
      <w:rFonts w:asciiTheme="majorHAnsi" w:hAnsiTheme="majorHAnsi" w:eastAsiaTheme="majorEastAsia" w:cstheme="majorBidi"/>
      <w:color w:val="17375E" w:themeColor="text2" w:themeShade="BF"/>
      <w:spacing w:val="5"/>
      <w:kern w:val="28"/>
      <w:sz w:val="52"/>
      <w:szCs w:val="52"/>
    </w:rPr>
  </w:style>
  <w:style w:type="paragraph" w:customStyle="1" w:styleId="21">
    <w:name w:val="IEEE Author Name"/>
    <w:basedOn w:val="1"/>
    <w:next w:val="1"/>
    <w:qFormat/>
    <w:uiPriority w:val="0"/>
    <w:pPr>
      <w:adjustRightInd w:val="0"/>
      <w:snapToGrid w:val="0"/>
      <w:spacing w:before="120" w:after="120" w:line="240" w:lineRule="auto"/>
      <w:jc w:val="center"/>
    </w:pPr>
    <w:rPr>
      <w:rFonts w:ascii="Times New Roman" w:hAnsi="Times New Roman" w:eastAsia="Times New Roman" w:cs="Times New Roman"/>
      <w:szCs w:val="24"/>
      <w:lang w:val="en-GB" w:eastAsia="en-GB"/>
    </w:rPr>
  </w:style>
  <w:style w:type="paragraph" w:customStyle="1" w:styleId="22">
    <w:name w:val="IEEE Author Affiliation"/>
    <w:basedOn w:val="1"/>
    <w:next w:val="1"/>
    <w:qFormat/>
    <w:uiPriority w:val="0"/>
    <w:pPr>
      <w:spacing w:after="60" w:line="240" w:lineRule="auto"/>
      <w:jc w:val="center"/>
    </w:pPr>
    <w:rPr>
      <w:rFonts w:ascii="Times New Roman" w:hAnsi="Times New Roman" w:eastAsia="Times New Roman" w:cs="Times New Roman"/>
      <w:i/>
      <w:sz w:val="20"/>
      <w:szCs w:val="24"/>
      <w:lang w:val="en-GB" w:eastAsia="en-GB"/>
    </w:rPr>
  </w:style>
  <w:style w:type="paragraph" w:customStyle="1" w:styleId="23">
    <w:name w:val="IEEE Author Email"/>
    <w:next w:val="22"/>
    <w:uiPriority w:val="0"/>
    <w:pPr>
      <w:spacing w:after="60" w:line="240" w:lineRule="auto"/>
      <w:jc w:val="center"/>
    </w:pPr>
    <w:rPr>
      <w:rFonts w:ascii="Courier" w:hAnsi="Courier" w:eastAsia="Times New Roman" w:cs="Times New Roman"/>
      <w:sz w:val="18"/>
      <w:szCs w:val="24"/>
      <w:lang w:val="en-GB" w:eastAsia="en-GB" w:bidi="ar-SA"/>
    </w:rPr>
  </w:style>
  <w:style w:type="paragraph" w:customStyle="1" w:styleId="24">
    <w:name w:val="IEEE Abstract Heading"/>
    <w:basedOn w:val="25"/>
    <w:next w:val="25"/>
    <w:link w:val="26"/>
    <w:uiPriority w:val="0"/>
    <w:rPr>
      <w:i/>
    </w:rPr>
  </w:style>
  <w:style w:type="paragraph" w:customStyle="1" w:styleId="25">
    <w:name w:val="IEEE Abtract"/>
    <w:basedOn w:val="1"/>
    <w:next w:val="1"/>
    <w:link w:val="27"/>
    <w:uiPriority w:val="0"/>
    <w:pPr>
      <w:adjustRightInd w:val="0"/>
      <w:snapToGrid w:val="0"/>
      <w:spacing w:after="0" w:line="240" w:lineRule="auto"/>
      <w:jc w:val="both"/>
    </w:pPr>
    <w:rPr>
      <w:rFonts w:ascii="Times New Roman" w:hAnsi="Times New Roman" w:eastAsia="SimSun" w:cs="Times New Roman"/>
      <w:b/>
      <w:sz w:val="18"/>
      <w:szCs w:val="24"/>
      <w:lang w:val="en-GB" w:eastAsia="en-GB"/>
    </w:rPr>
  </w:style>
  <w:style w:type="character" w:customStyle="1" w:styleId="26">
    <w:name w:val="IEEE Abstract Heading Char"/>
    <w:link w:val="24"/>
    <w:uiPriority w:val="0"/>
    <w:rPr>
      <w:rFonts w:ascii="Times New Roman" w:hAnsi="Times New Roman" w:eastAsia="SimSun" w:cs="Times New Roman"/>
      <w:b/>
      <w:i/>
      <w:sz w:val="18"/>
      <w:szCs w:val="24"/>
      <w:lang w:val="en-GB" w:eastAsia="en-GB"/>
    </w:rPr>
  </w:style>
  <w:style w:type="character" w:customStyle="1" w:styleId="27">
    <w:name w:val="IEEE Abtract Char"/>
    <w:link w:val="25"/>
    <w:qFormat/>
    <w:uiPriority w:val="0"/>
    <w:rPr>
      <w:rFonts w:ascii="Times New Roman" w:hAnsi="Times New Roman" w:eastAsia="SimSun" w:cs="Times New Roman"/>
      <w:b/>
      <w:sz w:val="18"/>
      <w:szCs w:val="24"/>
      <w:lang w:val="en-GB" w:eastAsia="en-GB"/>
    </w:rPr>
  </w:style>
  <w:style w:type="character" w:customStyle="1" w:styleId="28">
    <w:name w:val="short_text"/>
    <w:basedOn w:val="4"/>
    <w:qFormat/>
    <w:uiPriority w:val="0"/>
  </w:style>
  <w:style w:type="character" w:customStyle="1" w:styleId="29">
    <w:name w:val="long_text"/>
    <w:basedOn w:val="4"/>
    <w:uiPriority w:val="0"/>
  </w:style>
  <w:style w:type="character" w:customStyle="1" w:styleId="30">
    <w:name w:val="Heading 3 Char"/>
    <w:basedOn w:val="4"/>
    <w:link w:val="3"/>
    <w:qFormat/>
    <w:uiPriority w:val="0"/>
    <w:rPr>
      <w:rFonts w:ascii="Arial" w:hAnsi="Arial" w:eastAsia="SimSun" w:cs="Arial"/>
      <w:b/>
      <w:bCs/>
      <w:sz w:val="26"/>
      <w:szCs w:val="26"/>
      <w:lang w:eastAsia="zh-CN"/>
    </w:rPr>
  </w:style>
  <w:style w:type="paragraph" w:customStyle="1" w:styleId="31">
    <w:name w:val="IEEE Heading 2"/>
    <w:basedOn w:val="1"/>
    <w:next w:val="32"/>
    <w:uiPriority w:val="0"/>
    <w:pPr>
      <w:numPr>
        <w:ilvl w:val="0"/>
        <w:numId w:val="2"/>
      </w:numPr>
      <w:adjustRightInd w:val="0"/>
      <w:snapToGrid w:val="0"/>
      <w:spacing w:before="150" w:after="60" w:line="240" w:lineRule="auto"/>
      <w:ind w:left="289" w:hanging="289"/>
    </w:pPr>
    <w:rPr>
      <w:rFonts w:ascii="Times New Roman" w:hAnsi="Times New Roman" w:eastAsia="SimSun" w:cs="Times New Roman"/>
      <w:i/>
      <w:sz w:val="20"/>
      <w:szCs w:val="24"/>
      <w:lang w:eastAsia="zh-CN"/>
    </w:rPr>
  </w:style>
  <w:style w:type="paragraph" w:customStyle="1" w:styleId="32">
    <w:name w:val="IEEE Paragraph"/>
    <w:basedOn w:val="1"/>
    <w:link w:val="35"/>
    <w:qFormat/>
    <w:uiPriority w:val="0"/>
    <w:pPr>
      <w:adjustRightInd w:val="0"/>
      <w:snapToGrid w:val="0"/>
      <w:spacing w:after="0" w:line="240" w:lineRule="auto"/>
      <w:ind w:firstLine="216"/>
      <w:jc w:val="both"/>
    </w:pPr>
    <w:rPr>
      <w:rFonts w:ascii="Times New Roman" w:hAnsi="Times New Roman" w:eastAsia="SimSun" w:cs="Times New Roman"/>
      <w:sz w:val="20"/>
      <w:szCs w:val="24"/>
      <w:lang w:eastAsia="zh-CN"/>
    </w:rPr>
  </w:style>
  <w:style w:type="paragraph" w:customStyle="1" w:styleId="33">
    <w:name w:val="IEEE Heading 1"/>
    <w:basedOn w:val="1"/>
    <w:next w:val="32"/>
    <w:uiPriority w:val="0"/>
    <w:pPr>
      <w:numPr>
        <w:ilvl w:val="0"/>
        <w:numId w:val="3"/>
      </w:numPr>
      <w:adjustRightInd w:val="0"/>
      <w:snapToGrid w:val="0"/>
      <w:spacing w:before="180" w:after="60" w:line="240" w:lineRule="auto"/>
      <w:jc w:val="center"/>
    </w:pPr>
    <w:rPr>
      <w:rFonts w:ascii="Times New Roman" w:hAnsi="Times New Roman" w:eastAsia="SimSun" w:cs="Times New Roman"/>
      <w:smallCaps/>
      <w:sz w:val="20"/>
      <w:szCs w:val="24"/>
      <w:lang w:eastAsia="zh-CN"/>
    </w:rPr>
  </w:style>
  <w:style w:type="paragraph" w:customStyle="1" w:styleId="34">
    <w:name w:val="IEEE Heading 3"/>
    <w:basedOn w:val="1"/>
    <w:next w:val="32"/>
    <w:link w:val="37"/>
    <w:qFormat/>
    <w:uiPriority w:val="0"/>
    <w:pPr>
      <w:numPr>
        <w:ilvl w:val="0"/>
        <w:numId w:val="4"/>
      </w:numPr>
      <w:adjustRightInd w:val="0"/>
      <w:snapToGrid w:val="0"/>
      <w:spacing w:before="120" w:after="60" w:line="240" w:lineRule="auto"/>
      <w:ind w:firstLine="216"/>
      <w:jc w:val="both"/>
    </w:pPr>
    <w:rPr>
      <w:rFonts w:ascii="Times New Roman" w:hAnsi="Times New Roman" w:eastAsia="SimSun" w:cs="Times New Roman"/>
      <w:i/>
      <w:sz w:val="20"/>
      <w:szCs w:val="24"/>
      <w:lang w:eastAsia="zh-CN"/>
    </w:rPr>
  </w:style>
  <w:style w:type="character" w:customStyle="1" w:styleId="35">
    <w:name w:val="IEEE Paragraph Char"/>
    <w:link w:val="32"/>
    <w:uiPriority w:val="0"/>
    <w:rPr>
      <w:rFonts w:ascii="Times New Roman" w:hAnsi="Times New Roman" w:eastAsia="SimSun" w:cs="Times New Roman"/>
      <w:sz w:val="20"/>
      <w:szCs w:val="24"/>
      <w:lang w:eastAsia="zh-CN"/>
    </w:rPr>
  </w:style>
  <w:style w:type="paragraph" w:customStyle="1" w:styleId="36">
    <w:name w:val="IEEE Figure Caption Single-Line"/>
    <w:basedOn w:val="1"/>
    <w:next w:val="32"/>
    <w:uiPriority w:val="0"/>
    <w:pPr>
      <w:spacing w:before="120" w:after="120" w:line="240" w:lineRule="auto"/>
      <w:jc w:val="center"/>
    </w:pPr>
    <w:rPr>
      <w:rFonts w:ascii="Times New Roman" w:hAnsi="Times New Roman" w:eastAsia="SimSun" w:cs="Times New Roman"/>
      <w:sz w:val="16"/>
      <w:szCs w:val="24"/>
      <w:lang w:eastAsia="zh-CN"/>
    </w:rPr>
  </w:style>
  <w:style w:type="character" w:customStyle="1" w:styleId="37">
    <w:name w:val="IEEE Heading 3 Char"/>
    <w:link w:val="34"/>
    <w:uiPriority w:val="0"/>
    <w:rPr>
      <w:rFonts w:ascii="Times New Roman" w:hAnsi="Times New Roman" w:eastAsia="SimSun" w:cs="Times New Roman"/>
      <w:i/>
      <w:sz w:val="20"/>
      <w:szCs w:val="24"/>
      <w:lang w:eastAsia="zh-CN"/>
    </w:rPr>
  </w:style>
  <w:style w:type="paragraph" w:customStyle="1" w:styleId="38">
    <w:name w:val="IEEE Figure"/>
    <w:basedOn w:val="1"/>
    <w:next w:val="36"/>
    <w:uiPriority w:val="0"/>
    <w:pPr>
      <w:spacing w:after="0" w:line="240" w:lineRule="auto"/>
      <w:jc w:val="center"/>
    </w:pPr>
    <w:rPr>
      <w:rFonts w:ascii="Times New Roman" w:hAnsi="Times New Roman" w:eastAsia="SimSun" w:cs="Times New Roman"/>
      <w:sz w:val="24"/>
      <w:szCs w:val="24"/>
      <w:lang w:eastAsia="zh-CN"/>
    </w:rPr>
  </w:style>
  <w:style w:type="paragraph" w:customStyle="1" w:styleId="39">
    <w:name w:val="IEEE Reference Item"/>
    <w:basedOn w:val="1"/>
    <w:qFormat/>
    <w:uiPriority w:val="0"/>
    <w:pPr>
      <w:numPr>
        <w:ilvl w:val="0"/>
        <w:numId w:val="1"/>
      </w:numPr>
      <w:adjustRightInd w:val="0"/>
      <w:snapToGrid w:val="0"/>
      <w:spacing w:after="0" w:line="240" w:lineRule="auto"/>
      <w:jc w:val="both"/>
    </w:pPr>
    <w:rPr>
      <w:rFonts w:ascii="Times New Roman" w:hAnsi="Times New Roman" w:eastAsia="SimSun" w:cs="Times New Roman"/>
      <w:sz w:val="16"/>
      <w:szCs w:val="24"/>
      <w:lang w:val="en-US" w:eastAsia="zh-CN"/>
    </w:rPr>
  </w:style>
  <w:style w:type="paragraph" w:customStyle="1" w:styleId="40">
    <w:name w:val="IEEE Figure Caption Multi-Lines"/>
    <w:basedOn w:val="36"/>
    <w:next w:val="32"/>
    <w:qFormat/>
    <w:uiPriority w:val="0"/>
    <w:pPr>
      <w:jc w:val="both"/>
    </w:pPr>
  </w:style>
  <w:style w:type="character" w:customStyle="1" w:styleId="41">
    <w:name w:val="medium_text"/>
    <w:basedOn w:val="4"/>
    <w:qFormat/>
    <w:uiPriority w:val="0"/>
  </w:style>
  <w:style w:type="character" w:customStyle="1" w:styleId="42">
    <w:name w:val="apple-converted-space"/>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image2.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image2.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image2.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EDF008-A258-407E-867D-5BE0C07C289A}">
  <ds:schemaRefs/>
</ds:datastoreItem>
</file>

<file path=docProps/app.xml><?xml version="1.0" encoding="utf-8"?>
<Properties xmlns="http://schemas.openxmlformats.org/officeDocument/2006/extended-properties" xmlns:vt="http://schemas.openxmlformats.org/officeDocument/2006/docPropsVTypes">
  <Template>Normal</Template>
  <Pages>7</Pages>
  <Words>1581</Words>
  <Characters>10699</Characters>
  <Lines>71</Lines>
  <Paragraphs>20</Paragraphs>
  <TotalTime>6</TotalTime>
  <ScaleCrop>false</ScaleCrop>
  <LinksUpToDate>false</LinksUpToDate>
  <CharactersWithSpaces>12245</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2023-09-03T13:08:00Z</dcterms:created>
  <dcterms:modified xsi:type="dcterms:W3CDTF">2026-05-03T13:53:18Z</dcterms:modified>
  <dc:title>JMTSI Template</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eyJoZGlkIjoiMmVhYjIwYTFkMDUyN2RmOGI2OTNiMWRjYmY5MjBlYTUiLCJ1c2VySWQiOiI5Nzk5NzgxOTQ2OTEifQ==</vt:lpwstr>
  </property>
  <property fmtid="{D5CDD505-2E9C-101B-9397-08002B2CF9AE}" pid="3" name="KSOProductBuildVer">
    <vt:lpwstr>1033-12.1.0.25862</vt:lpwstr>
  </property>
  <property fmtid="{D5CDD505-2E9C-101B-9397-08002B2CF9AE}" pid="4" name="ICV">
    <vt:lpwstr>5E92E0CFD3DE40D2A795FA9AB8C5A6B0_13</vt:lpwstr>
  </property>
</Properties>
</file>